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BC" w:rsidRDefault="00845705">
      <w:pPr>
        <w:spacing w:before="60" w:after="60" w:line="240" w:lineRule="auto"/>
        <w:ind w:righ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Núcleo de Avaliação: </w:t>
      </w:r>
      <w:r>
        <w:rPr>
          <w:rFonts w:ascii="Arial" w:hAnsi="Arial" w:cs="Arial"/>
          <w:bCs/>
        </w:rPr>
        <w:t xml:space="preserve">Núcleo 3 </w:t>
      </w:r>
      <w:bookmarkStart w:id="0" w:name="_GoBack"/>
      <w:bookmarkEnd w:id="0"/>
    </w:p>
    <w:p w:rsidR="005B39BC" w:rsidRDefault="00845705">
      <w:pPr>
        <w:spacing w:before="60" w:after="60" w:line="240" w:lineRule="auto"/>
        <w:ind w:right="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Área temática: </w:t>
      </w:r>
      <w:r>
        <w:rPr>
          <w:rFonts w:ascii="Arial" w:hAnsi="Arial" w:cs="Arial"/>
        </w:rPr>
        <w:t>Direito</w:t>
      </w:r>
    </w:p>
    <w:p w:rsidR="005B39BC" w:rsidRDefault="00845705">
      <w:pPr>
        <w:spacing w:before="60" w:after="60" w:line="240" w:lineRule="auto"/>
        <w:ind w:right="14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Área do Conhecimento</w:t>
      </w:r>
      <w:r>
        <w:rPr>
          <w:rFonts w:ascii="Arial" w:hAnsi="Arial" w:cs="Arial"/>
        </w:rPr>
        <w:t>: Ciências Sociais Aplicadas</w:t>
      </w:r>
    </w:p>
    <w:p w:rsidR="005B39BC" w:rsidRDefault="005B39BC">
      <w:pPr>
        <w:spacing w:before="60" w:after="60" w:line="240" w:lineRule="auto"/>
        <w:ind w:right="142"/>
        <w:rPr>
          <w:rFonts w:ascii="Arial" w:hAnsi="Arial" w:cs="Arial"/>
        </w:rPr>
      </w:pPr>
    </w:p>
    <w:p w:rsidR="005B39BC" w:rsidRDefault="005B39BC">
      <w:pPr>
        <w:spacing w:before="60" w:after="60" w:line="240" w:lineRule="auto"/>
        <w:ind w:right="142"/>
        <w:rPr>
          <w:rFonts w:ascii="Arial" w:hAnsi="Arial" w:cs="Arial"/>
        </w:rPr>
      </w:pPr>
    </w:p>
    <w:p w:rsidR="005B39BC" w:rsidRDefault="005B39BC">
      <w:pPr>
        <w:spacing w:before="80" w:after="80" w:line="240" w:lineRule="auto"/>
        <w:rPr>
          <w:rFonts w:ascii="Arial" w:hAnsi="Arial" w:cs="Arial"/>
          <w:b/>
          <w:sz w:val="26"/>
          <w:szCs w:val="26"/>
        </w:rPr>
      </w:pPr>
    </w:p>
    <w:p w:rsidR="005B39BC" w:rsidRDefault="00845705">
      <w:pPr>
        <w:spacing w:before="60" w:after="60" w:line="240" w:lineRule="auto"/>
        <w:ind w:right="14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Promovendo o acesso à justiça por meio da mediação e da conciliação: Uma análise da litigiosidade e dos acordos em </w:t>
      </w:r>
      <w:r>
        <w:rPr>
          <w:rFonts w:ascii="Arial" w:hAnsi="Arial" w:cs="Arial"/>
          <w:b/>
          <w:sz w:val="26"/>
          <w:szCs w:val="26"/>
        </w:rPr>
        <w:t>processos judiciais da União no estado do Rio Grande do Norte</w:t>
      </w:r>
    </w:p>
    <w:p w:rsidR="005B39BC" w:rsidRDefault="005B39BC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:rsidR="005B39BC" w:rsidRDefault="00845705"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Júlio César Santos Morais, José </w:t>
      </w:r>
      <w:proofErr w:type="spellStart"/>
      <w:r>
        <w:rPr>
          <w:rFonts w:ascii="Arial" w:hAnsi="Arial" w:cs="Arial"/>
        </w:rPr>
        <w:t>Albenes</w:t>
      </w:r>
      <w:proofErr w:type="spellEnd"/>
      <w:r>
        <w:rPr>
          <w:rFonts w:ascii="Arial" w:hAnsi="Arial" w:cs="Arial"/>
        </w:rPr>
        <w:t xml:space="preserve"> Bezerra </w:t>
      </w:r>
      <w:proofErr w:type="gramStart"/>
      <w:r>
        <w:rPr>
          <w:rFonts w:ascii="Arial" w:hAnsi="Arial" w:cs="Arial"/>
        </w:rPr>
        <w:t>Júnior</w:t>
      </w:r>
      <w:proofErr w:type="gramEnd"/>
    </w:p>
    <w:p w:rsidR="005B39BC" w:rsidRDefault="005B39BC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:rsidR="005B39BC" w:rsidRDefault="00845705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Este trabalho examina a cultura da litigiosidade no sistema jurídico brasileiro, com foco no estado do Rio Grande do Norte, abordando prá</w:t>
      </w:r>
      <w:r>
        <w:rPr>
          <w:rFonts w:ascii="Arial" w:hAnsi="Arial" w:cs="Arial"/>
        </w:rPr>
        <w:t>ticas de mediação e conciliação nos processos judiciais da União como métodos alternativos e complementares ao modelo tradicional. O estudo observa que a litigância excessiva compromete o acesso à justiça, dificultando que acordos e decisões atinjam a efet</w:t>
      </w:r>
      <w:r>
        <w:rPr>
          <w:rFonts w:ascii="Arial" w:hAnsi="Arial" w:cs="Arial"/>
        </w:rPr>
        <w:t>ividade esperada. A sobrecarga processual e os custos de litígios judiciais representam desafios significativos para o Judiciário e para as partes, especialmente em casos envolvendo a Fazenda Pública. Assim, o trabalho analisa causas e consequências da lit</w:t>
      </w:r>
      <w:r>
        <w:rPr>
          <w:rFonts w:ascii="Arial" w:hAnsi="Arial" w:cs="Arial"/>
        </w:rPr>
        <w:t xml:space="preserve">igiosidade, avalia a viabilidade de acordos judiciais e sugere estratégias para incentivar a mediação e a conciliação, visando reduzir processos e aprimorar o acesso à justiça. O objetivo central é investigar como a </w:t>
      </w:r>
      <w:proofErr w:type="gramStart"/>
      <w:r>
        <w:rPr>
          <w:rFonts w:ascii="Arial" w:hAnsi="Arial" w:cs="Arial"/>
        </w:rPr>
        <w:t>implementação</w:t>
      </w:r>
      <w:proofErr w:type="gramEnd"/>
      <w:r>
        <w:rPr>
          <w:rFonts w:ascii="Arial" w:hAnsi="Arial" w:cs="Arial"/>
        </w:rPr>
        <w:t xml:space="preserve"> de métodos alternativos po</w:t>
      </w:r>
      <w:r>
        <w:rPr>
          <w:rFonts w:ascii="Arial" w:hAnsi="Arial" w:cs="Arial"/>
        </w:rPr>
        <w:t>de aumentar a eficiência do sistema, reduzir a litigiosidade e melhorar a satisfação das partes com as decisões. A metodologia inclui análise de dados dos relatórios “Justiça em Números” e “Painel de Grandes Litigantes” do CNJ, buscando identificar padrões</w:t>
      </w:r>
      <w:r>
        <w:rPr>
          <w:rFonts w:ascii="Arial" w:hAnsi="Arial" w:cs="Arial"/>
        </w:rPr>
        <w:t xml:space="preserve"> de litígios no Rio Grande do Norte e os impactos da litigiosidade no Judiciário. A pesquisa também recorre a uma revisão bibliográfica, baseando-se em autores como Mauro </w:t>
      </w:r>
      <w:proofErr w:type="spellStart"/>
      <w:r>
        <w:rPr>
          <w:rFonts w:ascii="Arial" w:hAnsi="Arial" w:cs="Arial"/>
        </w:rPr>
        <w:t>Cappelletti</w:t>
      </w:r>
      <w:proofErr w:type="spellEnd"/>
      <w:r>
        <w:rPr>
          <w:rFonts w:ascii="Arial" w:hAnsi="Arial" w:cs="Arial"/>
        </w:rPr>
        <w:t xml:space="preserve">, Bryant Garth e Marcelo Veiga Franco. Os resultados preliminares mostram </w:t>
      </w:r>
      <w:r>
        <w:rPr>
          <w:rFonts w:ascii="Arial" w:hAnsi="Arial" w:cs="Arial"/>
        </w:rPr>
        <w:t>que o processo judicial ainda é a principal via de resolução de disputas, sobrecarregando o Judiciário e favorecendo, por vezes, a Fazenda Pública na negociação de acordos. Constatou-se que, com o incentivo adequado, mediação e conciliação têm potencial de</w:t>
      </w:r>
      <w:r>
        <w:rPr>
          <w:rFonts w:ascii="Arial" w:hAnsi="Arial" w:cs="Arial"/>
        </w:rPr>
        <w:t xml:space="preserve"> transformar a cultura jurídica local, promovendo um ambiente mais propício a soluções consensuais. Conclui-se que, apesar do avanço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compreensão</w:t>
      </w:r>
      <w:proofErr w:type="gramEnd"/>
      <w:r>
        <w:rPr>
          <w:rFonts w:ascii="Arial" w:hAnsi="Arial" w:cs="Arial"/>
        </w:rPr>
        <w:t xml:space="preserve"> da litigiosidade e da baixa adesão a métodos conciliatórios, a pesquisa necessita de continuidade para análi</w:t>
      </w:r>
      <w:r>
        <w:rPr>
          <w:rFonts w:ascii="Arial" w:hAnsi="Arial" w:cs="Arial"/>
        </w:rPr>
        <w:t>se qualitativa dos processos na Justiça Federal do estado e mapeamento de programas que incentivem essas práticas. A continuidade do projeto pode aprofundar a compreensão sobre práticas conciliatórias, com impactos positivos para o acesso à justiça e a efi</w:t>
      </w:r>
      <w:r>
        <w:rPr>
          <w:rFonts w:ascii="Arial" w:hAnsi="Arial" w:cs="Arial"/>
        </w:rPr>
        <w:t>ciência do sistema judicial.</w:t>
      </w:r>
    </w:p>
    <w:p w:rsidR="005B39BC" w:rsidRDefault="005B39BC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</w:p>
    <w:p w:rsidR="005B39BC" w:rsidRDefault="00845705">
      <w:pPr>
        <w:spacing w:before="60" w:after="60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Palavras-chave:</w:t>
      </w:r>
      <w:r>
        <w:rPr>
          <w:rFonts w:ascii="Arial" w:hAnsi="Arial" w:cs="Arial"/>
        </w:rPr>
        <w:t xml:space="preserve"> Acesso à Justiça, Conciliação, Efetividade, Litigiosidade, Mediação.</w:t>
      </w:r>
    </w:p>
    <w:p w:rsidR="005B39BC" w:rsidRDefault="00845705">
      <w:pPr>
        <w:spacing w:before="60" w:after="60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Agência financiadora:</w:t>
      </w:r>
      <w:r>
        <w:rPr>
          <w:rFonts w:ascii="Arial" w:hAnsi="Arial" w:cs="Arial"/>
        </w:rPr>
        <w:t xml:space="preserve"> PIVIC.</w:t>
      </w:r>
    </w:p>
    <w:p w:rsidR="005B39BC" w:rsidRDefault="00845705">
      <w:pPr>
        <w:spacing w:before="60" w:after="60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Campus: </w:t>
      </w:r>
      <w:r>
        <w:rPr>
          <w:rFonts w:ascii="Arial" w:hAnsi="Arial" w:cs="Arial"/>
          <w:bCs/>
        </w:rPr>
        <w:t>Mossoró</w:t>
      </w:r>
    </w:p>
    <w:sectPr w:rsidR="005B3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05" w:rsidRDefault="00845705">
      <w:pPr>
        <w:spacing w:after="0" w:line="240" w:lineRule="auto"/>
      </w:pPr>
      <w:r>
        <w:separator/>
      </w:r>
    </w:p>
  </w:endnote>
  <w:endnote w:type="continuationSeparator" w:id="0">
    <w:p w:rsidR="00845705" w:rsidRDefault="0084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BC" w:rsidRDefault="005B39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BC" w:rsidRDefault="005B39BC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</w:p>
  <w:p w:rsidR="005B39BC" w:rsidRDefault="005B39BC">
    <w:pPr>
      <w:pStyle w:val="Rodap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BC" w:rsidRDefault="005B39BC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</w:p>
  <w:p w:rsidR="005B39BC" w:rsidRDefault="005B39B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05" w:rsidRDefault="00845705">
      <w:pPr>
        <w:spacing w:after="0" w:line="240" w:lineRule="auto"/>
      </w:pPr>
      <w:r>
        <w:separator/>
      </w:r>
    </w:p>
  </w:footnote>
  <w:footnote w:type="continuationSeparator" w:id="0">
    <w:p w:rsidR="00845705" w:rsidRDefault="0084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BC" w:rsidRDefault="005B39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1" w:type="dxa"/>
      <w:tblLayout w:type="fixed"/>
      <w:tblLook w:val="04A0" w:firstRow="1" w:lastRow="0" w:firstColumn="1" w:lastColumn="0" w:noHBand="0" w:noVBand="1"/>
    </w:tblPr>
    <w:tblGrid>
      <w:gridCol w:w="6816"/>
      <w:gridCol w:w="2255"/>
    </w:tblGrid>
    <w:tr w:rsidR="005B39BC">
      <w:tc>
        <w:tcPr>
          <w:tcW w:w="6815" w:type="dxa"/>
          <w:tcBorders>
            <w:bottom w:val="single" w:sz="8" w:space="0" w:color="C45911"/>
          </w:tcBorders>
          <w:shd w:val="clear" w:color="auto" w:fill="auto"/>
          <w:vAlign w:val="center"/>
        </w:tcPr>
        <w:p w:rsidR="005B39BC" w:rsidRDefault="005B39BC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</w:tc>
      <w:tc>
        <w:tcPr>
          <w:tcW w:w="2255" w:type="dxa"/>
          <w:tcBorders>
            <w:bottom w:val="single" w:sz="8" w:space="0" w:color="C45911"/>
          </w:tcBorders>
          <w:shd w:val="clear" w:color="auto" w:fill="auto"/>
          <w:vAlign w:val="center"/>
        </w:tcPr>
        <w:p w:rsidR="005B39BC" w:rsidRDefault="00845705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margin">
                  <wp:posOffset>-3640455</wp:posOffset>
                </wp:positionH>
                <wp:positionV relativeFrom="margin">
                  <wp:posOffset>-58420</wp:posOffset>
                </wp:positionV>
                <wp:extent cx="5090160" cy="1387475"/>
                <wp:effectExtent l="0" t="0" r="0" b="0"/>
                <wp:wrapNone/>
                <wp:docPr id="1" name="Imagem 3" descr="Tex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 descr="Text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0160" cy="1387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5B39BC" w:rsidRDefault="005B39BC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5B39BC" w:rsidRDefault="005B39BC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5B39BC" w:rsidRDefault="005B39BC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5B39BC" w:rsidRDefault="005B39BC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5B39BC" w:rsidRDefault="005B39BC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5B39BC" w:rsidRDefault="005B39BC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</w:tc>
    </w:tr>
  </w:tbl>
  <w:p w:rsidR="005B39BC" w:rsidRDefault="005B39BC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1" w:type="dxa"/>
      <w:tblLayout w:type="fixed"/>
      <w:tblLook w:val="04A0" w:firstRow="1" w:lastRow="0" w:firstColumn="1" w:lastColumn="0" w:noHBand="0" w:noVBand="1"/>
    </w:tblPr>
    <w:tblGrid>
      <w:gridCol w:w="6816"/>
      <w:gridCol w:w="2255"/>
    </w:tblGrid>
    <w:tr w:rsidR="005B39BC">
      <w:tc>
        <w:tcPr>
          <w:tcW w:w="6815" w:type="dxa"/>
          <w:tcBorders>
            <w:bottom w:val="single" w:sz="8" w:space="0" w:color="C45911"/>
          </w:tcBorders>
          <w:shd w:val="clear" w:color="auto" w:fill="auto"/>
          <w:vAlign w:val="center"/>
        </w:tcPr>
        <w:p w:rsidR="005B39BC" w:rsidRDefault="005B39BC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</w:tc>
      <w:tc>
        <w:tcPr>
          <w:tcW w:w="2255" w:type="dxa"/>
          <w:tcBorders>
            <w:bottom w:val="single" w:sz="8" w:space="0" w:color="C45911"/>
          </w:tcBorders>
          <w:shd w:val="clear" w:color="auto" w:fill="auto"/>
          <w:vAlign w:val="center"/>
        </w:tcPr>
        <w:p w:rsidR="005B39BC" w:rsidRDefault="00845705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margin">
                  <wp:posOffset>-3640455</wp:posOffset>
                </wp:positionH>
                <wp:positionV relativeFrom="margin">
                  <wp:posOffset>-58420</wp:posOffset>
                </wp:positionV>
                <wp:extent cx="5090160" cy="1387475"/>
                <wp:effectExtent l="0" t="0" r="0" b="0"/>
                <wp:wrapNone/>
                <wp:docPr id="2" name="Imagem 3" descr="Tex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 descr="Text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0160" cy="1387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5B39BC" w:rsidRDefault="005B39BC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5B39BC" w:rsidRDefault="005B39BC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5B39BC" w:rsidRDefault="005B39BC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5B39BC" w:rsidRDefault="005B39BC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5B39BC" w:rsidRDefault="005B39BC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5B39BC" w:rsidRDefault="005B39BC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</w:tc>
    </w:tr>
  </w:tbl>
  <w:p w:rsidR="005B39BC" w:rsidRDefault="005B39BC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BC"/>
    <w:rsid w:val="00396EBF"/>
    <w:rsid w:val="005B39BC"/>
    <w:rsid w:val="0084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606DA"/>
  </w:style>
  <w:style w:type="character" w:customStyle="1" w:styleId="RodapChar">
    <w:name w:val="Rodapé Char"/>
    <w:basedOn w:val="Fontepargpadro"/>
    <w:link w:val="Rodap"/>
    <w:uiPriority w:val="99"/>
    <w:qFormat/>
    <w:rsid w:val="001606DA"/>
  </w:style>
  <w:style w:type="character" w:customStyle="1" w:styleId="Ttulo1Char">
    <w:name w:val="Título 1 Char"/>
    <w:link w:val="Ttulo1"/>
    <w:uiPriority w:val="9"/>
    <w:qFormat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Refdecomentrio">
    <w:name w:val="annotation reference"/>
    <w:uiPriority w:val="99"/>
    <w:semiHidden/>
    <w:unhideWhenUsed/>
    <w:qFormat/>
    <w:rsid w:val="006577F3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6577F3"/>
    <w:rPr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6577F3"/>
    <w:rPr>
      <w:b/>
      <w:bCs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6577F3"/>
    <w:rPr>
      <w:rFonts w:ascii="Segoe UI" w:hAnsi="Segoe UI" w:cs="Segoe UI"/>
      <w:sz w:val="18"/>
      <w:szCs w:val="18"/>
      <w:lang w:eastAsia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577F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606DA"/>
  </w:style>
  <w:style w:type="character" w:customStyle="1" w:styleId="RodapChar">
    <w:name w:val="Rodapé Char"/>
    <w:basedOn w:val="Fontepargpadro"/>
    <w:link w:val="Rodap"/>
    <w:uiPriority w:val="99"/>
    <w:qFormat/>
    <w:rsid w:val="001606DA"/>
  </w:style>
  <w:style w:type="character" w:customStyle="1" w:styleId="Ttulo1Char">
    <w:name w:val="Título 1 Char"/>
    <w:link w:val="Ttulo1"/>
    <w:uiPriority w:val="9"/>
    <w:qFormat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Refdecomentrio">
    <w:name w:val="annotation reference"/>
    <w:uiPriority w:val="99"/>
    <w:semiHidden/>
    <w:unhideWhenUsed/>
    <w:qFormat/>
    <w:rsid w:val="006577F3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6577F3"/>
    <w:rPr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6577F3"/>
    <w:rPr>
      <w:b/>
      <w:bCs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6577F3"/>
    <w:rPr>
      <w:rFonts w:ascii="Segoe UI" w:hAnsi="Segoe UI" w:cs="Segoe UI"/>
      <w:sz w:val="18"/>
      <w:szCs w:val="18"/>
      <w:lang w:eastAsia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577F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A489F-31A3-4921-921D-53A443AE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Thaiseany Freitas Rêgo</dc:creator>
  <cp:lastModifiedBy>Visitante</cp:lastModifiedBy>
  <cp:revision>2</cp:revision>
  <cp:lastPrinted>2017-08-15T14:40:00Z</cp:lastPrinted>
  <dcterms:created xsi:type="dcterms:W3CDTF">2024-12-16T12:04:00Z</dcterms:created>
  <dcterms:modified xsi:type="dcterms:W3CDTF">2024-12-16T12:04:00Z</dcterms:modified>
  <dc:language>pt-BR</dc:language>
</cp:coreProperties>
</file>