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4B3FC3" w14:textId="77777777" w:rsidR="00936652" w:rsidRPr="00EA74BA" w:rsidRDefault="00000000">
      <w:pPr>
        <w:spacing w:before="60" w:after="60" w:line="240" w:lineRule="auto"/>
        <w:ind w:right="142"/>
        <w:rPr>
          <w:b/>
        </w:rPr>
      </w:pPr>
      <w:r w:rsidRPr="00EA74BA">
        <w:rPr>
          <w:b/>
        </w:rPr>
        <w:t xml:space="preserve">Núcleo de Avaliação: </w:t>
      </w:r>
      <w:r w:rsidRPr="00EA74BA">
        <w:t xml:space="preserve">Núcleo I </w:t>
      </w:r>
    </w:p>
    <w:p w14:paraId="75D9DB14" w14:textId="77777777" w:rsidR="00936652" w:rsidRPr="00EA74BA" w:rsidRDefault="00000000">
      <w:pPr>
        <w:spacing w:before="60" w:after="60" w:line="240" w:lineRule="auto"/>
        <w:ind w:right="142"/>
      </w:pPr>
      <w:r w:rsidRPr="00EA74BA">
        <w:rPr>
          <w:b/>
        </w:rPr>
        <w:t xml:space="preserve">Área temática: </w:t>
      </w:r>
      <w:r w:rsidRPr="00EA74BA">
        <w:t>Ciências Agrárias</w:t>
      </w:r>
    </w:p>
    <w:p w14:paraId="41B673CB" w14:textId="32A2218E" w:rsidR="00936652" w:rsidRPr="00EA74BA" w:rsidRDefault="00000000">
      <w:pPr>
        <w:spacing w:before="60" w:after="60" w:line="240" w:lineRule="auto"/>
        <w:ind w:right="142"/>
      </w:pPr>
      <w:r w:rsidRPr="00EA74BA">
        <w:rPr>
          <w:b/>
        </w:rPr>
        <w:t>Área do Conhecimento</w:t>
      </w:r>
      <w:r w:rsidRPr="00EA74BA">
        <w:t xml:space="preserve">: </w:t>
      </w:r>
      <w:r w:rsidR="00113E00" w:rsidRPr="00EA74BA">
        <w:t>Medicina Veterinária</w:t>
      </w:r>
      <w:r w:rsidRPr="00EA74BA">
        <w:t xml:space="preserve"> </w:t>
      </w:r>
    </w:p>
    <w:p w14:paraId="0F851162" w14:textId="77777777" w:rsidR="00936652" w:rsidRPr="00EA74BA" w:rsidRDefault="00936652">
      <w:pPr>
        <w:spacing w:before="60" w:after="60" w:line="240" w:lineRule="auto"/>
        <w:ind w:right="142"/>
        <w:jc w:val="center"/>
        <w:rPr>
          <w:b/>
        </w:rPr>
      </w:pPr>
    </w:p>
    <w:p w14:paraId="5051B795" w14:textId="081F4F12" w:rsidR="00936652" w:rsidRPr="00EA74BA" w:rsidRDefault="00283992" w:rsidP="00EA74BA">
      <w:pPr>
        <w:spacing w:before="80" w:after="80" w:line="240" w:lineRule="auto"/>
        <w:jc w:val="center"/>
        <w:rPr>
          <w:b/>
        </w:rPr>
      </w:pPr>
      <w:r w:rsidRPr="00EA74BA">
        <w:rPr>
          <w:b/>
          <w:sz w:val="28"/>
          <w:szCs w:val="28"/>
        </w:rPr>
        <w:t xml:space="preserve">MORFOLOGIA DAS </w:t>
      </w:r>
      <w:r w:rsidR="009D41C3" w:rsidRPr="00EA74BA">
        <w:rPr>
          <w:b/>
          <w:sz w:val="28"/>
          <w:szCs w:val="28"/>
        </w:rPr>
        <w:t xml:space="preserve">GLANDULAS SEXUAIS ACESSORIAS DE CATETO </w:t>
      </w:r>
      <w:r w:rsidR="009D41C3" w:rsidRPr="00EA74BA">
        <w:rPr>
          <w:b/>
          <w:i/>
          <w:iCs/>
          <w:sz w:val="28"/>
          <w:szCs w:val="28"/>
        </w:rPr>
        <w:t xml:space="preserve">Pecari </w:t>
      </w:r>
      <w:proofErr w:type="spellStart"/>
      <w:r w:rsidR="009D41C3" w:rsidRPr="00EA74BA">
        <w:rPr>
          <w:b/>
          <w:i/>
          <w:iCs/>
          <w:sz w:val="28"/>
          <w:szCs w:val="28"/>
        </w:rPr>
        <w:t>tajacu</w:t>
      </w:r>
      <w:proofErr w:type="spellEnd"/>
      <w:r w:rsidR="009D41C3" w:rsidRPr="00EA74BA">
        <w:rPr>
          <w:b/>
          <w:i/>
          <w:iCs/>
          <w:sz w:val="28"/>
          <w:szCs w:val="28"/>
        </w:rPr>
        <w:t>, LINNAEUS</w:t>
      </w:r>
      <w:r w:rsidR="009D41C3" w:rsidRPr="00EA74BA">
        <w:rPr>
          <w:b/>
          <w:sz w:val="28"/>
          <w:szCs w:val="28"/>
        </w:rPr>
        <w:t xml:space="preserve"> 1758</w:t>
      </w:r>
      <w:r w:rsidRPr="00EA74BA">
        <w:rPr>
          <w:b/>
          <w:sz w:val="28"/>
          <w:szCs w:val="28"/>
        </w:rPr>
        <w:tab/>
      </w:r>
    </w:p>
    <w:p w14:paraId="5DE45147" w14:textId="77777777" w:rsidR="00283992" w:rsidRPr="00EA74BA" w:rsidRDefault="00283992" w:rsidP="00283992">
      <w:pPr>
        <w:tabs>
          <w:tab w:val="center" w:pos="4536"/>
          <w:tab w:val="left" w:pos="6566"/>
        </w:tabs>
        <w:spacing w:before="80" w:after="80" w:line="240" w:lineRule="auto"/>
        <w:rPr>
          <w:b/>
        </w:rPr>
      </w:pPr>
    </w:p>
    <w:p w14:paraId="69FCA6A5" w14:textId="34A09F86" w:rsidR="00936652" w:rsidRPr="00EA74BA" w:rsidRDefault="009D41C3">
      <w:pPr>
        <w:spacing w:before="80" w:after="80" w:line="240" w:lineRule="auto"/>
        <w:jc w:val="center"/>
      </w:pPr>
      <w:r w:rsidRPr="00EA74BA">
        <w:t>Alana Ingrid de Araújo Pereira</w:t>
      </w:r>
      <w:r w:rsidRPr="00EA74BA">
        <w:rPr>
          <w:vertAlign w:val="superscript"/>
        </w:rPr>
        <w:t xml:space="preserve">1, </w:t>
      </w:r>
      <w:proofErr w:type="spellStart"/>
      <w:r w:rsidRPr="00EA74BA">
        <w:t>Euziele</w:t>
      </w:r>
      <w:proofErr w:type="spellEnd"/>
      <w:r w:rsidRPr="00EA74BA">
        <w:t xml:space="preserve"> Oliveira de Santana</w:t>
      </w:r>
      <w:r w:rsidRPr="00EA74BA">
        <w:rPr>
          <w:vertAlign w:val="superscript"/>
        </w:rPr>
        <w:t>1</w:t>
      </w:r>
      <w:r w:rsidR="00113E00" w:rsidRPr="00EA74BA">
        <w:t xml:space="preserve">, </w:t>
      </w:r>
      <w:proofErr w:type="spellStart"/>
      <w:r w:rsidR="00113E00" w:rsidRPr="00EA74BA">
        <w:rPr>
          <w:highlight w:val="white"/>
        </w:rPr>
        <w:t>Ant</w:t>
      </w:r>
      <w:r w:rsidR="00426AA1" w:rsidRPr="00EA74BA">
        <w:rPr>
          <w:highlight w:val="white"/>
        </w:rPr>
        <w:t>o</w:t>
      </w:r>
      <w:r w:rsidR="00113E00" w:rsidRPr="00EA74BA">
        <w:rPr>
          <w:highlight w:val="white"/>
        </w:rPr>
        <w:t>nio</w:t>
      </w:r>
      <w:proofErr w:type="spellEnd"/>
      <w:r w:rsidRPr="00EA74BA">
        <w:rPr>
          <w:highlight w:val="white"/>
        </w:rPr>
        <w:t xml:space="preserve"> Lopes </w:t>
      </w:r>
      <w:r w:rsidR="00113E00" w:rsidRPr="00EA74BA">
        <w:rPr>
          <w:highlight w:val="white"/>
        </w:rPr>
        <w:t>d</w:t>
      </w:r>
      <w:r w:rsidRPr="00EA74BA">
        <w:rPr>
          <w:highlight w:val="white"/>
        </w:rPr>
        <w:t>a Silva Neto</w:t>
      </w:r>
      <w:r w:rsidRPr="00EA74BA">
        <w:rPr>
          <w:vertAlign w:val="superscript"/>
        </w:rPr>
        <w:t>1</w:t>
      </w:r>
      <w:r w:rsidRPr="00EA74BA">
        <w:t xml:space="preserve">, </w:t>
      </w:r>
      <w:proofErr w:type="spellStart"/>
      <w:r w:rsidR="00113E00" w:rsidRPr="00EA74BA">
        <w:t>Radan</w:t>
      </w:r>
      <w:proofErr w:type="spellEnd"/>
      <w:r w:rsidR="00113E00" w:rsidRPr="00EA74BA">
        <w:t xml:space="preserve"> Elvis Matias de Oliveira</w:t>
      </w:r>
      <w:r w:rsidR="00113E00" w:rsidRPr="00EA74BA">
        <w:rPr>
          <w:vertAlign w:val="superscript"/>
        </w:rPr>
        <w:t>1</w:t>
      </w:r>
      <w:r w:rsidR="00113E00" w:rsidRPr="00EA74BA">
        <w:t xml:space="preserve">, </w:t>
      </w:r>
      <w:r w:rsidRPr="00EA74BA">
        <w:t xml:space="preserve">Moacir Franco </w:t>
      </w:r>
      <w:r w:rsidR="00113E00" w:rsidRPr="00EA74BA">
        <w:t xml:space="preserve">de </w:t>
      </w:r>
      <w:r w:rsidRPr="00EA74BA">
        <w:t>Oliveira</w:t>
      </w:r>
      <w:r w:rsidRPr="00EA74BA">
        <w:rPr>
          <w:vertAlign w:val="superscript"/>
        </w:rPr>
        <w:t>1</w:t>
      </w:r>
    </w:p>
    <w:p w14:paraId="1C91E7C7" w14:textId="77777777" w:rsidR="00936652" w:rsidRPr="00EA74BA" w:rsidRDefault="00936652">
      <w:pPr>
        <w:spacing w:before="80" w:after="80" w:line="240" w:lineRule="auto"/>
      </w:pPr>
    </w:p>
    <w:p w14:paraId="24757CFC" w14:textId="113063AA" w:rsidR="00936652" w:rsidRPr="00EA74BA" w:rsidRDefault="00000000">
      <w:pPr>
        <w:spacing w:before="80" w:after="80" w:line="240" w:lineRule="auto"/>
        <w:jc w:val="center"/>
      </w:pPr>
      <w:r w:rsidRPr="00EA74BA">
        <w:rPr>
          <w:vertAlign w:val="superscript"/>
        </w:rPr>
        <w:t>1</w:t>
      </w:r>
      <w:r w:rsidRPr="00EA74BA">
        <w:t>Laboratório de Morfo</w:t>
      </w:r>
      <w:r w:rsidR="00113E00" w:rsidRPr="00EA74BA">
        <w:t>fisio</w:t>
      </w:r>
      <w:r w:rsidRPr="00EA74BA">
        <w:t>logia Animal Aplicada</w:t>
      </w:r>
      <w:r w:rsidR="003231B1" w:rsidRPr="00EA74BA">
        <w:t xml:space="preserve"> </w:t>
      </w:r>
      <w:r w:rsidR="009D41C3" w:rsidRPr="00EA74BA">
        <w:t>–</w:t>
      </w:r>
      <w:r w:rsidR="003231B1" w:rsidRPr="00EA74BA">
        <w:t xml:space="preserve"> UFERSA</w:t>
      </w:r>
    </w:p>
    <w:p w14:paraId="3C23632E" w14:textId="77777777" w:rsidR="009D41C3" w:rsidRPr="00EA74BA" w:rsidRDefault="009D41C3">
      <w:pPr>
        <w:spacing w:before="80" w:after="80" w:line="240" w:lineRule="auto"/>
        <w:jc w:val="center"/>
      </w:pPr>
    </w:p>
    <w:p w14:paraId="77E0EF0F" w14:textId="4B961DBD" w:rsidR="00045152" w:rsidRPr="005C0E6A" w:rsidRDefault="00045152" w:rsidP="00045152">
      <w:pPr>
        <w:jc w:val="both"/>
      </w:pPr>
      <w:r w:rsidRPr="007B3A4D">
        <w:t xml:space="preserve">A família </w:t>
      </w:r>
      <w:proofErr w:type="spellStart"/>
      <w:r w:rsidRPr="007B3A4D">
        <w:t>Tayassuidae</w:t>
      </w:r>
      <w:proofErr w:type="spellEnd"/>
      <w:r w:rsidRPr="007B3A4D">
        <w:t xml:space="preserve"> inclui o cateto (Pecari </w:t>
      </w:r>
      <w:proofErr w:type="spellStart"/>
      <w:r w:rsidRPr="007B3A4D">
        <w:t>tayassu</w:t>
      </w:r>
      <w:proofErr w:type="spellEnd"/>
      <w:r w:rsidRPr="007B3A4D">
        <w:t xml:space="preserve">), amplamente distribuído e desempenhando importantes papéis ecológicos como predador e dispersor de sementes. Este estudo teve como objetivo caracterizar as glândulas vesiculares, próstata e glândulas bulbouretrais do sistema reprodutor de catetos, utilizando amostras de animais de diferentes idades, obtidas no Centro de Multiplicação de Animais Silvestres da Universidade Federal Rural do </w:t>
      </w:r>
      <w:proofErr w:type="spellStart"/>
      <w:r w:rsidRPr="007B3A4D">
        <w:t>Semi-Árido</w:t>
      </w:r>
      <w:proofErr w:type="spellEnd"/>
      <w:r w:rsidRPr="007B3A4D">
        <w:t>. A amostragem incluiu dois animais com um mês, três com três meses e três com doze meses de idade.</w:t>
      </w:r>
      <w:r>
        <w:t xml:space="preserve"> </w:t>
      </w:r>
      <w:r w:rsidRPr="007B3A4D">
        <w:t>As análises foram realizadas com a aprovação do Instituto Chico Mendes de Conservação da Biodiversidade (</w:t>
      </w:r>
      <w:r>
        <w:t>P</w:t>
      </w:r>
      <w:r w:rsidRPr="007B3A4D">
        <w:t>rotocolo n° 65864-1) e da Comissão de Ética no Uso de Animais da instituição (</w:t>
      </w:r>
      <w:r>
        <w:t>P</w:t>
      </w:r>
      <w:r w:rsidRPr="007B3A4D">
        <w:t>arecer n° 20/2019).</w:t>
      </w:r>
      <w:r>
        <w:t xml:space="preserve"> </w:t>
      </w:r>
      <w:r w:rsidRPr="007B3A4D">
        <w:rPr>
          <w:rFonts w:eastAsia="Times New Roman"/>
        </w:rPr>
        <w:t>As amostras foram desidratadas em álcoois crescentes, diafanizadas em xilol, incluídas em parafina, seccionadas e coradas com Hematoxilina-Eosina. Para microscopia eletrônica de varredura, foram fixadas em glutaraldeído a 2,5%, pós-fixadas, desidratadas em</w:t>
      </w:r>
      <w:r>
        <w:rPr>
          <w:rFonts w:eastAsia="Times New Roman"/>
        </w:rPr>
        <w:t xml:space="preserve"> </w:t>
      </w:r>
      <w:r w:rsidRPr="007B3A4D">
        <w:rPr>
          <w:rFonts w:eastAsia="Times New Roman"/>
        </w:rPr>
        <w:t>álcool, metalizadas e analisadas em MEV.</w:t>
      </w:r>
      <w:r>
        <w:rPr>
          <w:rFonts w:eastAsia="Times New Roman"/>
        </w:rPr>
        <w:t xml:space="preserve"> </w:t>
      </w:r>
      <w:r w:rsidRPr="007B3A4D">
        <w:t xml:space="preserve">As glândulas vesiculares, localizadas dorso-lateralmente à vesícula urinária, </w:t>
      </w:r>
      <w:r>
        <w:t>com</w:t>
      </w:r>
      <w:r w:rsidRPr="007B3A4D">
        <w:t xml:space="preserve"> forma alongad</w:t>
      </w:r>
      <w:r>
        <w:t>a</w:t>
      </w:r>
      <w:r w:rsidRPr="007B3A4D">
        <w:t xml:space="preserve"> e coloração </w:t>
      </w:r>
      <w:r>
        <w:t xml:space="preserve">pálida ou levemente </w:t>
      </w:r>
      <w:r w:rsidRPr="007B3A4D">
        <w:t xml:space="preserve">rosa. Microscopicamente, apresentam estrutura tubular-alveolar envolta por uma membrana serosa e cápsula fibrosa, que define sua forma e emite septos internos. O parênquima, composto por </w:t>
      </w:r>
      <w:proofErr w:type="spellStart"/>
      <w:r w:rsidRPr="007B3A4D">
        <w:t>ácinos</w:t>
      </w:r>
      <w:proofErr w:type="spellEnd"/>
      <w:r w:rsidRPr="007B3A4D">
        <w:t xml:space="preserve"> glandulares com epitélio de células colunares e poucas células basais, é circundado por músculo liso. O desenvolvimento glandular inclui aumento da área luminal e redução do tecido intersticial com a idade, indicando maior atividade secretora. A microscopia eletrônica confirma a membrana serosa envolvendo os túbulos do parênquima. Em animais jovens, o tecido conjuntivo intersticial é mais proeminente, com irregularidades nos túbulos que diminuem com o tempo.</w:t>
      </w:r>
      <w:r>
        <w:t xml:space="preserve"> </w:t>
      </w:r>
      <w:r w:rsidRPr="001D4315">
        <w:t xml:space="preserve">A próstata, localizada dorsalmente à uretra pélvica, é uma glândula tubular de consistência compacta, com epitélio cúbico simples e poucas células basais. Envolvida por uma cápsula fibrosa que emite septos para o interior, dividindo-a em lóbulos. Nos estágios iniciais de desenvolvimento, há abundante tecido intersticial e pouco tecido secretor, com túbulos secretores em formação e lúmen reduzido. Com o avanço da idade, o tecido secretor prolifera, resultando em túbulos </w:t>
      </w:r>
      <w:r w:rsidRPr="001D4315">
        <w:lastRenderedPageBreak/>
        <w:t xml:space="preserve">completamente formados aos doze meses. A microscopia eletrônica revela estrutura compacta com predomínio de tecido intersticial e </w:t>
      </w:r>
      <w:proofErr w:type="spellStart"/>
      <w:r w:rsidRPr="001D4315">
        <w:t>ácinos</w:t>
      </w:r>
      <w:proofErr w:type="spellEnd"/>
      <w:r w:rsidRPr="001D4315">
        <w:t xml:space="preserve"> arredondados organizados em grupos abaixo da cápsula.</w:t>
      </w:r>
      <w:r>
        <w:t xml:space="preserve"> </w:t>
      </w:r>
      <w:r w:rsidRPr="007B3A4D">
        <w:t xml:space="preserve">As glândulas bulbouretrais, apresentam estrutura tubular com cápsula de tecido conjuntivo e musculatura estriada externa, organizadas em </w:t>
      </w:r>
      <w:proofErr w:type="spellStart"/>
      <w:r w:rsidRPr="007B3A4D">
        <w:t>ácinos</w:t>
      </w:r>
      <w:proofErr w:type="spellEnd"/>
      <w:r w:rsidRPr="007B3A4D">
        <w:t xml:space="preserve">. Esses </w:t>
      </w:r>
      <w:proofErr w:type="spellStart"/>
      <w:r w:rsidRPr="007B3A4D">
        <w:t>ácinos</w:t>
      </w:r>
      <w:proofErr w:type="spellEnd"/>
      <w:r w:rsidRPr="007B3A4D">
        <w:t xml:space="preserve"> formam o parênquima, com ductos excretores e túbulos secretores revestidos por epitélio prismático. </w:t>
      </w:r>
      <w:r>
        <w:t xml:space="preserve">Com </w:t>
      </w:r>
      <w:r w:rsidRPr="007B3A4D">
        <w:t xml:space="preserve">um mês, o epitélio ainda está em organização, com </w:t>
      </w:r>
      <w:proofErr w:type="spellStart"/>
      <w:r w:rsidRPr="007B3A4D">
        <w:t>ácinos</w:t>
      </w:r>
      <w:proofErr w:type="spellEnd"/>
      <w:r w:rsidRPr="007B3A4D">
        <w:t xml:space="preserve"> pequenos e lúmen reduzido. Aos três meses, os </w:t>
      </w:r>
      <w:proofErr w:type="spellStart"/>
      <w:r w:rsidRPr="007B3A4D">
        <w:t>ácinos</w:t>
      </w:r>
      <w:proofErr w:type="spellEnd"/>
      <w:r w:rsidRPr="007B3A4D">
        <w:t xml:space="preserve"> já estão formados, mas sem lúmen e aos doze meses, o lúmen aumenta e há presença de secreção, indicando maturidade</w:t>
      </w:r>
      <w:r>
        <w:t xml:space="preserve">. </w:t>
      </w:r>
      <w:r w:rsidRPr="007B3A4D">
        <w:rPr>
          <w:rFonts w:eastAsia="Times New Roman"/>
        </w:rPr>
        <w:t>As glândulas acessórias do sistema reprodutor masculino em catetos atingem maturidade aos 12 meses. A glândula bulbouretral mostrou desenvolvimento incompleto no 1º mês, evoluindo até os 12 meses. A glândula vesicular exibiu aumento do lúmen e redução do tecido conjuntivo, indicando maior atividade secretora com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o </w:t>
      </w:r>
      <w:r>
        <w:rPr>
          <w:rFonts w:eastAsia="Times New Roman"/>
        </w:rPr>
        <w:t>avanç</w:t>
      </w:r>
      <w:r>
        <w:rPr>
          <w:rFonts w:eastAsia="Times New Roman"/>
        </w:rPr>
        <w:t>o</w:t>
      </w:r>
      <w:r>
        <w:rPr>
          <w:rFonts w:eastAsia="Times New Roman"/>
        </w:rPr>
        <w:t xml:space="preserve"> da</w:t>
      </w:r>
      <w:r w:rsidRPr="007B3A4D">
        <w:rPr>
          <w:rFonts w:eastAsia="Times New Roman"/>
        </w:rPr>
        <w:t xml:space="preserve"> idade. A próstata apresentou aumento progressivo do lúmen dos túbulos.</w:t>
      </w:r>
      <w:r>
        <w:rPr>
          <w:rFonts w:eastAsia="Times New Roman"/>
        </w:rPr>
        <w:t xml:space="preserve"> </w:t>
      </w:r>
      <w:r>
        <w:t>Assim, pode-se afirmar que e</w:t>
      </w:r>
      <w:r w:rsidRPr="005C0E6A">
        <w:rPr>
          <w:rFonts w:eastAsia="Times New Roman"/>
        </w:rPr>
        <w:t>m cateto estão presentes apenas as glândulas acessórias: bulbouretral, próstata e vesicular.</w:t>
      </w:r>
    </w:p>
    <w:p w14:paraId="4A489228" w14:textId="77777777" w:rsidR="00936652" w:rsidRPr="00EA74BA" w:rsidRDefault="00936652">
      <w:pPr>
        <w:spacing w:before="60" w:after="60" w:line="360" w:lineRule="auto"/>
        <w:ind w:right="142"/>
        <w:jc w:val="both"/>
      </w:pPr>
    </w:p>
    <w:p w14:paraId="501DC3AD" w14:textId="7AEB4C69" w:rsidR="00936652" w:rsidRPr="00EA74BA" w:rsidRDefault="00000000" w:rsidP="00AA4A6E">
      <w:pPr>
        <w:spacing w:before="60" w:after="60" w:line="240" w:lineRule="auto"/>
        <w:ind w:right="142"/>
        <w:jc w:val="both"/>
      </w:pPr>
      <w:r w:rsidRPr="00EA74BA">
        <w:rPr>
          <w:b/>
        </w:rPr>
        <w:t>Palavras-chave:</w:t>
      </w:r>
      <w:r w:rsidRPr="00EA74BA">
        <w:t xml:space="preserve"> </w:t>
      </w:r>
      <w:r w:rsidR="00EA74BA" w:rsidRPr="00EA74BA">
        <w:t>Bulbouretral</w:t>
      </w:r>
      <w:r w:rsidR="00EA74BA">
        <w:t>,</w:t>
      </w:r>
      <w:r w:rsidR="00EA74BA" w:rsidRPr="00EA74BA">
        <w:t xml:space="preserve"> </w:t>
      </w:r>
      <w:r w:rsidR="00EA74BA">
        <w:t>Microscopia</w:t>
      </w:r>
      <w:r w:rsidR="00DC6801" w:rsidRPr="00EA74BA">
        <w:t>,</w:t>
      </w:r>
      <w:r w:rsidR="009D41C3" w:rsidRPr="00EA74BA">
        <w:t xml:space="preserve"> Próstata</w:t>
      </w:r>
      <w:r w:rsidR="00EA74BA">
        <w:t xml:space="preserve">, </w:t>
      </w:r>
      <w:r w:rsidR="00EA74BA" w:rsidRPr="00EA74BA">
        <w:t>Vesicular</w:t>
      </w:r>
      <w:r w:rsidR="00EA74BA">
        <w:t>.</w:t>
      </w:r>
    </w:p>
    <w:p w14:paraId="20E8A123" w14:textId="77777777" w:rsidR="00936652" w:rsidRPr="00EA74BA" w:rsidRDefault="00000000" w:rsidP="00AA4A6E">
      <w:pPr>
        <w:spacing w:before="60" w:after="60" w:line="240" w:lineRule="auto"/>
        <w:ind w:right="142"/>
        <w:jc w:val="both"/>
      </w:pPr>
      <w:r w:rsidRPr="00EA74BA">
        <w:rPr>
          <w:b/>
        </w:rPr>
        <w:t>Agência financiadora:</w:t>
      </w:r>
      <w:r w:rsidRPr="00EA74BA">
        <w:t xml:space="preserve"> PIBIC/CNPq</w:t>
      </w:r>
    </w:p>
    <w:p w14:paraId="4FDA5308" w14:textId="484611C8" w:rsidR="00936652" w:rsidRPr="00EA74BA" w:rsidRDefault="00000000" w:rsidP="00AA4A6E">
      <w:pPr>
        <w:tabs>
          <w:tab w:val="left" w:pos="2628"/>
        </w:tabs>
        <w:spacing w:before="60" w:after="60" w:line="240" w:lineRule="auto"/>
        <w:ind w:right="142"/>
        <w:jc w:val="both"/>
      </w:pPr>
      <w:r w:rsidRPr="00EA74BA">
        <w:rPr>
          <w:b/>
        </w:rPr>
        <w:t xml:space="preserve">Campus: </w:t>
      </w:r>
      <w:r w:rsidRPr="00EA74BA">
        <w:t>Mossoró</w:t>
      </w:r>
    </w:p>
    <w:sectPr w:rsidR="00936652" w:rsidRPr="00EA74BA">
      <w:headerReference w:type="default" r:id="rId6"/>
      <w:footerReference w:type="default" r:id="rId7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41DE0" w14:textId="77777777" w:rsidR="00962876" w:rsidRDefault="00962876">
      <w:pPr>
        <w:spacing w:line="240" w:lineRule="auto"/>
      </w:pPr>
      <w:r>
        <w:separator/>
      </w:r>
    </w:p>
  </w:endnote>
  <w:endnote w:type="continuationSeparator" w:id="0">
    <w:p w14:paraId="5448BE06" w14:textId="77777777" w:rsidR="00962876" w:rsidRDefault="00962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F74F9" w14:textId="77777777" w:rsidR="00936652" w:rsidRDefault="00936652">
    <w:pPr>
      <w:pBdr>
        <w:top w:val="single" w:sz="12" w:space="1" w:color="C45911"/>
      </w:pBdr>
      <w:tabs>
        <w:tab w:val="center" w:pos="4252"/>
        <w:tab w:val="right" w:pos="8504"/>
      </w:tabs>
      <w:spacing w:line="240" w:lineRule="auto"/>
      <w:jc w:val="right"/>
      <w:rPr>
        <w:b/>
        <w:color w:val="1F4E79"/>
        <w:sz w:val="20"/>
        <w:szCs w:val="20"/>
      </w:rPr>
    </w:pPr>
  </w:p>
  <w:p w14:paraId="1257356C" w14:textId="77777777" w:rsidR="00936652" w:rsidRDefault="00936652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</w:rPr>
    </w:pPr>
  </w:p>
  <w:p w14:paraId="36A93638" w14:textId="77777777" w:rsidR="00936652" w:rsidRDefault="009366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BA92E" w14:textId="77777777" w:rsidR="00962876" w:rsidRDefault="00962876">
      <w:pPr>
        <w:spacing w:line="240" w:lineRule="auto"/>
      </w:pPr>
      <w:r>
        <w:separator/>
      </w:r>
    </w:p>
  </w:footnote>
  <w:footnote w:type="continuationSeparator" w:id="0">
    <w:p w14:paraId="63FD1E33" w14:textId="77777777" w:rsidR="00962876" w:rsidRDefault="009628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AE898" w14:textId="77777777" w:rsidR="00936652" w:rsidRDefault="00936652">
    <w:pPr>
      <w:widowControl w:val="0"/>
    </w:pPr>
  </w:p>
  <w:tbl>
    <w:tblPr>
      <w:tblStyle w:val="a"/>
      <w:tblW w:w="9071" w:type="dxa"/>
      <w:tblInd w:w="0" w:type="dxa"/>
      <w:tblBorders>
        <w:bottom w:val="single" w:sz="8" w:space="0" w:color="C45911"/>
      </w:tblBorders>
      <w:tblLayout w:type="fixed"/>
      <w:tblLook w:val="0400" w:firstRow="0" w:lastRow="0" w:firstColumn="0" w:lastColumn="0" w:noHBand="0" w:noVBand="1"/>
    </w:tblPr>
    <w:tblGrid>
      <w:gridCol w:w="6816"/>
      <w:gridCol w:w="2255"/>
    </w:tblGrid>
    <w:tr w:rsidR="00936652" w14:paraId="3A860596" w14:textId="77777777">
      <w:tc>
        <w:tcPr>
          <w:tcW w:w="6816" w:type="dxa"/>
          <w:shd w:val="clear" w:color="auto" w:fill="auto"/>
          <w:vAlign w:val="center"/>
        </w:tcPr>
        <w:p w14:paraId="3179E4B7" w14:textId="77777777" w:rsidR="00936652" w:rsidRDefault="00936652">
          <w:pP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b/>
              <w:color w:val="ED7D31"/>
              <w:sz w:val="20"/>
              <w:szCs w:val="20"/>
            </w:rPr>
          </w:pPr>
        </w:p>
      </w:tc>
      <w:tc>
        <w:tcPr>
          <w:tcW w:w="2255" w:type="dxa"/>
          <w:shd w:val="clear" w:color="auto" w:fill="auto"/>
          <w:vAlign w:val="center"/>
        </w:tcPr>
        <w:p w14:paraId="2C47FDA0" w14:textId="77777777" w:rsidR="00936652" w:rsidRDefault="00000000">
          <w:pP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b/>
              <w:color w:val="ED7D31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104803D" wp14:editId="14B87C6E">
                <wp:simplePos x="0" y="0"/>
                <wp:positionH relativeFrom="column">
                  <wp:posOffset>-3640452</wp:posOffset>
                </wp:positionH>
                <wp:positionV relativeFrom="paragraph">
                  <wp:posOffset>0</wp:posOffset>
                </wp:positionV>
                <wp:extent cx="5090160" cy="1387475"/>
                <wp:effectExtent l="0" t="0" r="0" b="0"/>
                <wp:wrapNone/>
                <wp:docPr id="1" name="image1.png" descr="Texto&#10;&#10;Descrição gerada automaticamente com confiança mé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Texto&#10;&#10;Descrição gerada automaticamente com confiança médi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90160" cy="1387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60D99EFE" w14:textId="77777777" w:rsidR="00936652" w:rsidRDefault="00936652">
          <w:pP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b/>
              <w:color w:val="ED7D31"/>
              <w:sz w:val="20"/>
              <w:szCs w:val="20"/>
            </w:rPr>
          </w:pPr>
        </w:p>
        <w:p w14:paraId="17B55523" w14:textId="77777777" w:rsidR="00936652" w:rsidRDefault="00936652">
          <w:pP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b/>
              <w:color w:val="ED7D31"/>
              <w:sz w:val="20"/>
              <w:szCs w:val="20"/>
            </w:rPr>
          </w:pPr>
        </w:p>
        <w:p w14:paraId="228FD18B" w14:textId="77777777" w:rsidR="00936652" w:rsidRDefault="00936652">
          <w:pP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b/>
              <w:color w:val="ED7D31"/>
              <w:sz w:val="20"/>
              <w:szCs w:val="20"/>
            </w:rPr>
          </w:pPr>
        </w:p>
        <w:p w14:paraId="02669352" w14:textId="77777777" w:rsidR="00936652" w:rsidRDefault="00936652">
          <w:pP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b/>
              <w:color w:val="ED7D31"/>
              <w:sz w:val="20"/>
              <w:szCs w:val="20"/>
            </w:rPr>
          </w:pPr>
        </w:p>
        <w:p w14:paraId="342E71C1" w14:textId="77777777" w:rsidR="00936652" w:rsidRDefault="00936652">
          <w:pP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b/>
              <w:color w:val="ED7D31"/>
              <w:sz w:val="20"/>
              <w:szCs w:val="20"/>
            </w:rPr>
          </w:pPr>
        </w:p>
        <w:p w14:paraId="74CEBF19" w14:textId="77777777" w:rsidR="00936652" w:rsidRDefault="00936652">
          <w:pP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b/>
              <w:color w:val="ED7D31"/>
              <w:sz w:val="20"/>
              <w:szCs w:val="20"/>
            </w:rPr>
          </w:pPr>
        </w:p>
      </w:tc>
    </w:tr>
  </w:tbl>
  <w:p w14:paraId="42912DB9" w14:textId="77777777" w:rsidR="00936652" w:rsidRDefault="00936652">
    <w:pPr>
      <w:tabs>
        <w:tab w:val="center" w:pos="4252"/>
        <w:tab w:val="right" w:pos="8504"/>
      </w:tabs>
      <w:spacing w:before="60" w:after="60" w:line="240" w:lineRule="auto"/>
      <w:rPr>
        <w:rFonts w:ascii="Times New Roman" w:eastAsia="Times New Roman" w:hAnsi="Times New Roman" w:cs="Times New Roman"/>
        <w:b/>
        <w:color w:val="ED7D31"/>
        <w:sz w:val="20"/>
        <w:szCs w:val="20"/>
      </w:rPr>
    </w:pPr>
  </w:p>
  <w:p w14:paraId="5693F111" w14:textId="77777777" w:rsidR="00936652" w:rsidRDefault="009366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652"/>
    <w:rsid w:val="00045152"/>
    <w:rsid w:val="0006123C"/>
    <w:rsid w:val="000868EA"/>
    <w:rsid w:val="000A087C"/>
    <w:rsid w:val="00113E00"/>
    <w:rsid w:val="00182ABE"/>
    <w:rsid w:val="001E233F"/>
    <w:rsid w:val="002326C6"/>
    <w:rsid w:val="00283992"/>
    <w:rsid w:val="002D0137"/>
    <w:rsid w:val="003231B1"/>
    <w:rsid w:val="00381820"/>
    <w:rsid w:val="00391680"/>
    <w:rsid w:val="00426AA1"/>
    <w:rsid w:val="004C500A"/>
    <w:rsid w:val="004E2552"/>
    <w:rsid w:val="0087208B"/>
    <w:rsid w:val="00925548"/>
    <w:rsid w:val="00936652"/>
    <w:rsid w:val="00962876"/>
    <w:rsid w:val="009D41C3"/>
    <w:rsid w:val="00AA4A6E"/>
    <w:rsid w:val="00AF3E26"/>
    <w:rsid w:val="00CD78C9"/>
    <w:rsid w:val="00DC3773"/>
    <w:rsid w:val="00DC6801"/>
    <w:rsid w:val="00EA74BA"/>
    <w:rsid w:val="00F32971"/>
    <w:rsid w:val="00F3672D"/>
    <w:rsid w:val="00F65488"/>
    <w:rsid w:val="00FC1108"/>
    <w:rsid w:val="00F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CB2B"/>
  <w15:docId w15:val="{6E422845-2A7B-45C9-820E-0371ED1B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MOACIR FRANCO</dc:creator>
  <cp:lastModifiedBy>Alana Araújo</cp:lastModifiedBy>
  <cp:revision>2</cp:revision>
  <dcterms:created xsi:type="dcterms:W3CDTF">2024-11-15T00:52:00Z</dcterms:created>
  <dcterms:modified xsi:type="dcterms:W3CDTF">2024-11-15T00:52:00Z</dcterms:modified>
</cp:coreProperties>
</file>