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A2" w:rsidRDefault="00982EA2">
      <w:pPr>
        <w:spacing w:line="337" w:lineRule="exact"/>
        <w:rPr>
          <w:sz w:val="24"/>
          <w:szCs w:val="24"/>
        </w:rPr>
      </w:pPr>
    </w:p>
    <w:p w:rsidR="00982EA2" w:rsidRDefault="00C0456E">
      <w:pPr>
        <w:ind w:left="760"/>
        <w:rPr>
          <w:sz w:val="20"/>
          <w:szCs w:val="20"/>
        </w:rPr>
      </w:pPr>
      <w:r>
        <w:rPr>
          <w:rFonts w:eastAsia="Times New Roman"/>
          <w:b/>
          <w:bCs/>
          <w:sz w:val="24"/>
          <w:szCs w:val="24"/>
        </w:rPr>
        <w:t>POLÍTICAS PÚBLICAS E A AÇÃO INTERVENTIVA – AFIRMATIVA</w:t>
      </w:r>
    </w:p>
    <w:p w:rsidR="00982EA2" w:rsidRDefault="00982EA2">
      <w:pPr>
        <w:spacing w:line="200" w:lineRule="exact"/>
        <w:rPr>
          <w:sz w:val="24"/>
          <w:szCs w:val="24"/>
        </w:rPr>
      </w:pPr>
    </w:p>
    <w:p w:rsidR="00982EA2" w:rsidRDefault="00982EA2">
      <w:pPr>
        <w:spacing w:line="289" w:lineRule="exact"/>
        <w:rPr>
          <w:sz w:val="24"/>
          <w:szCs w:val="24"/>
        </w:rPr>
      </w:pPr>
    </w:p>
    <w:p w:rsidR="00982EA2" w:rsidRDefault="004973E0">
      <w:pPr>
        <w:ind w:left="5020"/>
        <w:rPr>
          <w:sz w:val="20"/>
          <w:szCs w:val="20"/>
        </w:rPr>
      </w:pPr>
      <w:r>
        <w:rPr>
          <w:rFonts w:eastAsia="Times New Roman"/>
          <w:sz w:val="23"/>
          <w:szCs w:val="23"/>
        </w:rPr>
        <w:t xml:space="preserve">SILVA, </w:t>
      </w:r>
      <w:r w:rsidR="00C0456E">
        <w:rPr>
          <w:rFonts w:eastAsia="Times New Roman"/>
          <w:sz w:val="23"/>
          <w:szCs w:val="23"/>
        </w:rPr>
        <w:t xml:space="preserve">Carlos Ramon Ferreira de Freitas </w:t>
      </w:r>
      <w:proofErr w:type="gramStart"/>
      <w:r w:rsidR="00C0456E">
        <w:rPr>
          <w:rFonts w:eastAsia="Times New Roman"/>
          <w:sz w:val="31"/>
          <w:szCs w:val="31"/>
          <w:vertAlign w:val="superscript"/>
        </w:rPr>
        <w:t>1</w:t>
      </w:r>
      <w:proofErr w:type="gramEnd"/>
    </w:p>
    <w:p w:rsidR="00982EA2" w:rsidRDefault="004973E0">
      <w:pPr>
        <w:ind w:left="5660"/>
        <w:rPr>
          <w:sz w:val="20"/>
          <w:szCs w:val="20"/>
        </w:rPr>
      </w:pPr>
      <w:r>
        <w:rPr>
          <w:rFonts w:eastAsia="Times New Roman"/>
          <w:sz w:val="23"/>
          <w:szCs w:val="23"/>
        </w:rPr>
        <w:t xml:space="preserve">GUERRA, </w:t>
      </w:r>
      <w:proofErr w:type="spellStart"/>
      <w:r w:rsidR="00C0456E">
        <w:rPr>
          <w:rFonts w:eastAsia="Times New Roman"/>
          <w:sz w:val="23"/>
          <w:szCs w:val="23"/>
        </w:rPr>
        <w:t>Tamaria</w:t>
      </w:r>
      <w:proofErr w:type="spellEnd"/>
      <w:r w:rsidR="00C0456E">
        <w:rPr>
          <w:rFonts w:eastAsia="Times New Roman"/>
          <w:sz w:val="23"/>
          <w:szCs w:val="23"/>
        </w:rPr>
        <w:t xml:space="preserve"> Monique Silva </w:t>
      </w:r>
      <w:r w:rsidR="00C0456E">
        <w:rPr>
          <w:rFonts w:eastAsia="Times New Roman"/>
          <w:sz w:val="31"/>
          <w:szCs w:val="31"/>
          <w:vertAlign w:val="superscript"/>
        </w:rPr>
        <w:t>2</w:t>
      </w:r>
    </w:p>
    <w:p w:rsidR="00982EA2" w:rsidRDefault="00982EA2">
      <w:pPr>
        <w:spacing w:line="303" w:lineRule="exact"/>
        <w:rPr>
          <w:sz w:val="24"/>
          <w:szCs w:val="24"/>
        </w:rPr>
      </w:pPr>
    </w:p>
    <w:p w:rsidR="00982EA2" w:rsidRDefault="00C0456E">
      <w:pPr>
        <w:rPr>
          <w:sz w:val="20"/>
          <w:szCs w:val="20"/>
        </w:rPr>
      </w:pPr>
      <w:r>
        <w:rPr>
          <w:rFonts w:eastAsia="Times New Roman"/>
          <w:b/>
          <w:bCs/>
          <w:sz w:val="24"/>
          <w:szCs w:val="24"/>
        </w:rPr>
        <w:t>RESUMO</w:t>
      </w:r>
    </w:p>
    <w:p w:rsidR="00982EA2" w:rsidRDefault="00982EA2">
      <w:pPr>
        <w:spacing w:line="339" w:lineRule="exact"/>
        <w:rPr>
          <w:sz w:val="24"/>
          <w:szCs w:val="24"/>
        </w:rPr>
      </w:pPr>
    </w:p>
    <w:p w:rsidR="00982EA2" w:rsidRDefault="00C0456E">
      <w:pPr>
        <w:spacing w:line="238" w:lineRule="auto"/>
        <w:jc w:val="both"/>
        <w:rPr>
          <w:sz w:val="20"/>
          <w:szCs w:val="20"/>
        </w:rPr>
      </w:pPr>
      <w:r>
        <w:rPr>
          <w:rFonts w:eastAsia="Times New Roman"/>
          <w:sz w:val="24"/>
          <w:szCs w:val="24"/>
        </w:rPr>
        <w:t>O presente trabalho é fruto de uma pesquisa monográfica realizada no ano de 2014, intitulada: Concursos públicos e as pessoas com deficiência: a efetivação da política pública de inclusão através da ação afirmativa de reserva de vagas. Tendo por objetivo a análise da reserva de vagas destinadas as pessoas com deficiência em concurso público, tendo em vista, o princípio da isonomia material, demonstrando como este repercute no meio social de forma a preservar a dignidade humana, para efetivação de direitos e de uma sociedade mais justa. O procedimento de coleta de dados se deu por meio de revisão bibliográfica e levantamento documental.</w:t>
      </w:r>
    </w:p>
    <w:p w:rsidR="00982EA2" w:rsidRDefault="00982EA2">
      <w:pPr>
        <w:spacing w:line="283" w:lineRule="exact"/>
        <w:rPr>
          <w:sz w:val="24"/>
          <w:szCs w:val="24"/>
        </w:rPr>
      </w:pPr>
    </w:p>
    <w:p w:rsidR="00982EA2" w:rsidRDefault="00C0456E">
      <w:pPr>
        <w:tabs>
          <w:tab w:val="left" w:pos="2560"/>
          <w:tab w:val="left" w:pos="3740"/>
          <w:tab w:val="left" w:pos="4540"/>
          <w:tab w:val="left" w:pos="6380"/>
          <w:tab w:val="left" w:pos="7960"/>
        </w:tabs>
        <w:rPr>
          <w:sz w:val="20"/>
          <w:szCs w:val="20"/>
        </w:rPr>
      </w:pPr>
      <w:r>
        <w:rPr>
          <w:rFonts w:eastAsia="Times New Roman"/>
          <w:b/>
          <w:bCs/>
          <w:sz w:val="24"/>
          <w:szCs w:val="24"/>
        </w:rPr>
        <w:t>PALAVRAS-CHAVE</w:t>
      </w:r>
      <w:r>
        <w:rPr>
          <w:rFonts w:eastAsia="Times New Roman"/>
          <w:sz w:val="24"/>
          <w:szCs w:val="24"/>
        </w:rPr>
        <w:t>:</w:t>
      </w:r>
      <w:r>
        <w:rPr>
          <w:sz w:val="20"/>
          <w:szCs w:val="20"/>
        </w:rPr>
        <w:tab/>
      </w:r>
      <w:r>
        <w:rPr>
          <w:rFonts w:eastAsia="Times New Roman"/>
          <w:sz w:val="24"/>
          <w:szCs w:val="24"/>
        </w:rPr>
        <w:t>PESSOA</w:t>
      </w:r>
      <w:r>
        <w:rPr>
          <w:sz w:val="20"/>
          <w:szCs w:val="20"/>
        </w:rPr>
        <w:tab/>
      </w:r>
      <w:r>
        <w:rPr>
          <w:rFonts w:eastAsia="Times New Roman"/>
          <w:sz w:val="24"/>
          <w:szCs w:val="24"/>
        </w:rPr>
        <w:t>COM</w:t>
      </w:r>
      <w:r>
        <w:rPr>
          <w:sz w:val="20"/>
          <w:szCs w:val="20"/>
        </w:rPr>
        <w:tab/>
      </w:r>
      <w:r>
        <w:rPr>
          <w:rFonts w:eastAsia="Times New Roman"/>
          <w:sz w:val="24"/>
          <w:szCs w:val="24"/>
        </w:rPr>
        <w:t>DEFICIÊNCIA;</w:t>
      </w:r>
      <w:r>
        <w:rPr>
          <w:sz w:val="20"/>
          <w:szCs w:val="20"/>
        </w:rPr>
        <w:tab/>
      </w:r>
      <w:r>
        <w:rPr>
          <w:rFonts w:eastAsia="Times New Roman"/>
          <w:sz w:val="24"/>
          <w:szCs w:val="24"/>
        </w:rPr>
        <w:t>CONCURSO</w:t>
      </w:r>
      <w:r>
        <w:rPr>
          <w:sz w:val="20"/>
          <w:szCs w:val="20"/>
        </w:rPr>
        <w:tab/>
      </w:r>
      <w:r>
        <w:rPr>
          <w:rFonts w:eastAsia="Times New Roman"/>
          <w:sz w:val="24"/>
          <w:szCs w:val="24"/>
        </w:rPr>
        <w:t>PÚBLICO;</w:t>
      </w:r>
    </w:p>
    <w:p w:rsidR="00982EA2" w:rsidRDefault="00C0456E">
      <w:pPr>
        <w:rPr>
          <w:sz w:val="20"/>
          <w:szCs w:val="20"/>
        </w:rPr>
      </w:pPr>
      <w:r>
        <w:rPr>
          <w:rFonts w:eastAsia="Times New Roman"/>
          <w:sz w:val="24"/>
          <w:szCs w:val="24"/>
        </w:rPr>
        <w:t>POLÍTICAS PÚBLICAS; AÇÃO AFIRMATIVA.</w:t>
      </w:r>
    </w:p>
    <w:p w:rsidR="00982EA2" w:rsidRDefault="00982EA2">
      <w:pPr>
        <w:spacing w:line="200" w:lineRule="exact"/>
        <w:rPr>
          <w:sz w:val="24"/>
          <w:szCs w:val="24"/>
        </w:rPr>
      </w:pPr>
    </w:p>
    <w:p w:rsidR="00982EA2" w:rsidRDefault="00982EA2">
      <w:pPr>
        <w:spacing w:line="357" w:lineRule="exact"/>
        <w:rPr>
          <w:sz w:val="24"/>
          <w:szCs w:val="24"/>
        </w:rPr>
      </w:pPr>
    </w:p>
    <w:p w:rsidR="00982EA2" w:rsidRDefault="00C0456E">
      <w:pPr>
        <w:tabs>
          <w:tab w:val="left" w:pos="700"/>
        </w:tabs>
        <w:ind w:left="360"/>
        <w:rPr>
          <w:sz w:val="20"/>
          <w:szCs w:val="20"/>
        </w:rPr>
      </w:pPr>
      <w:r>
        <w:rPr>
          <w:rFonts w:eastAsia="Times New Roman"/>
          <w:b/>
          <w:bCs/>
          <w:sz w:val="24"/>
          <w:szCs w:val="24"/>
        </w:rPr>
        <w:t>1.</w:t>
      </w:r>
      <w:r>
        <w:rPr>
          <w:sz w:val="20"/>
          <w:szCs w:val="20"/>
        </w:rPr>
        <w:tab/>
      </w:r>
      <w:r>
        <w:rPr>
          <w:rFonts w:eastAsia="Times New Roman"/>
          <w:b/>
          <w:bCs/>
          <w:sz w:val="23"/>
          <w:szCs w:val="23"/>
        </w:rPr>
        <w:t>INTRODUÇÃO</w:t>
      </w:r>
    </w:p>
    <w:p w:rsidR="00982EA2" w:rsidRDefault="00982EA2">
      <w:pPr>
        <w:spacing w:line="274" w:lineRule="exact"/>
        <w:rPr>
          <w:sz w:val="24"/>
          <w:szCs w:val="24"/>
        </w:rPr>
      </w:pPr>
    </w:p>
    <w:p w:rsidR="00982EA2" w:rsidRDefault="00C0456E">
      <w:pPr>
        <w:ind w:left="720"/>
        <w:rPr>
          <w:sz w:val="20"/>
          <w:szCs w:val="20"/>
        </w:rPr>
      </w:pPr>
      <w:r>
        <w:rPr>
          <w:rFonts w:eastAsia="Times New Roman"/>
          <w:sz w:val="24"/>
          <w:szCs w:val="24"/>
        </w:rPr>
        <w:t>A Política Nacional para Integração da Pessoa Portadora de Deficiência, em seu Art.</w:t>
      </w:r>
    </w:p>
    <w:p w:rsidR="00982EA2" w:rsidRDefault="00982EA2">
      <w:pPr>
        <w:spacing w:line="137" w:lineRule="exact"/>
        <w:rPr>
          <w:sz w:val="24"/>
          <w:szCs w:val="24"/>
        </w:rPr>
      </w:pPr>
    </w:p>
    <w:p w:rsidR="00982EA2" w:rsidRDefault="00C0456E">
      <w:pPr>
        <w:rPr>
          <w:sz w:val="20"/>
          <w:szCs w:val="20"/>
        </w:rPr>
      </w:pPr>
      <w:r>
        <w:rPr>
          <w:rFonts w:eastAsia="Times New Roman"/>
          <w:sz w:val="24"/>
          <w:szCs w:val="24"/>
        </w:rPr>
        <w:t xml:space="preserve">3º inciso I, define deficiência como “toda perda ou anormalidade de uma estrutura ou </w:t>
      </w:r>
      <w:proofErr w:type="gramStart"/>
      <w:r>
        <w:rPr>
          <w:rFonts w:eastAsia="Times New Roman"/>
          <w:sz w:val="24"/>
          <w:szCs w:val="24"/>
        </w:rPr>
        <w:t>função</w:t>
      </w:r>
      <w:proofErr w:type="gramEnd"/>
    </w:p>
    <w:p w:rsidR="00982EA2" w:rsidRDefault="00982EA2">
      <w:pPr>
        <w:spacing w:line="140" w:lineRule="exact"/>
        <w:rPr>
          <w:sz w:val="24"/>
          <w:szCs w:val="24"/>
        </w:rPr>
      </w:pPr>
    </w:p>
    <w:p w:rsidR="00982EA2" w:rsidRDefault="00C0456E">
      <w:pPr>
        <w:rPr>
          <w:sz w:val="20"/>
          <w:szCs w:val="20"/>
        </w:rPr>
      </w:pPr>
      <w:proofErr w:type="gramStart"/>
      <w:r>
        <w:rPr>
          <w:rFonts w:eastAsia="Times New Roman"/>
          <w:sz w:val="24"/>
          <w:szCs w:val="24"/>
        </w:rPr>
        <w:t>psicológica</w:t>
      </w:r>
      <w:proofErr w:type="gramEnd"/>
      <w:r>
        <w:rPr>
          <w:rFonts w:eastAsia="Times New Roman"/>
          <w:sz w:val="24"/>
          <w:szCs w:val="24"/>
        </w:rPr>
        <w:t>,  fisiológica  ou  anatômica  que  gere  incapacidade  para  o  desenvolvimento  de</w:t>
      </w:r>
    </w:p>
    <w:p w:rsidR="00982EA2" w:rsidRDefault="00982EA2">
      <w:pPr>
        <w:spacing w:line="137" w:lineRule="exact"/>
        <w:rPr>
          <w:sz w:val="24"/>
          <w:szCs w:val="24"/>
        </w:rPr>
      </w:pPr>
    </w:p>
    <w:p w:rsidR="00982EA2" w:rsidRDefault="00C0456E">
      <w:pPr>
        <w:rPr>
          <w:sz w:val="20"/>
          <w:szCs w:val="20"/>
        </w:rPr>
      </w:pPr>
      <w:proofErr w:type="gramStart"/>
      <w:r>
        <w:rPr>
          <w:rFonts w:eastAsia="Times New Roman"/>
          <w:sz w:val="24"/>
          <w:szCs w:val="24"/>
        </w:rPr>
        <w:t>atividade</w:t>
      </w:r>
      <w:proofErr w:type="gramEnd"/>
      <w:r>
        <w:rPr>
          <w:rFonts w:eastAsia="Times New Roman"/>
          <w:sz w:val="24"/>
          <w:szCs w:val="24"/>
        </w:rPr>
        <w:t xml:space="preserve"> dentro do padrão considerado normal”. Dados do IBGE (2010) demonstram que as</w:t>
      </w:r>
    </w:p>
    <w:p w:rsidR="00982EA2" w:rsidRDefault="00982EA2">
      <w:pPr>
        <w:spacing w:line="139" w:lineRule="exact"/>
        <w:rPr>
          <w:sz w:val="24"/>
          <w:szCs w:val="24"/>
        </w:rPr>
      </w:pPr>
    </w:p>
    <w:p w:rsidR="00982EA2" w:rsidRDefault="00C0456E">
      <w:pPr>
        <w:rPr>
          <w:sz w:val="20"/>
          <w:szCs w:val="20"/>
        </w:rPr>
      </w:pPr>
      <w:proofErr w:type="gramStart"/>
      <w:r>
        <w:rPr>
          <w:rFonts w:eastAsia="Times New Roman"/>
          <w:sz w:val="24"/>
          <w:szCs w:val="24"/>
        </w:rPr>
        <w:t>pessoas</w:t>
      </w:r>
      <w:proofErr w:type="gramEnd"/>
      <w:r>
        <w:rPr>
          <w:rFonts w:eastAsia="Times New Roman"/>
          <w:sz w:val="24"/>
          <w:szCs w:val="24"/>
        </w:rPr>
        <w:t xml:space="preserve"> com deficiência representam 23,91% da população nacional, sendo estas deficiências</w:t>
      </w:r>
    </w:p>
    <w:p w:rsidR="00982EA2" w:rsidRDefault="00982EA2">
      <w:pPr>
        <w:spacing w:line="137" w:lineRule="exact"/>
        <w:rPr>
          <w:sz w:val="24"/>
          <w:szCs w:val="24"/>
        </w:rPr>
      </w:pPr>
    </w:p>
    <w:p w:rsidR="00982EA2" w:rsidRDefault="00C0456E">
      <w:pPr>
        <w:rPr>
          <w:sz w:val="20"/>
          <w:szCs w:val="20"/>
        </w:rPr>
      </w:pPr>
      <w:proofErr w:type="gramStart"/>
      <w:r>
        <w:rPr>
          <w:rFonts w:eastAsia="Times New Roman"/>
          <w:sz w:val="24"/>
          <w:szCs w:val="24"/>
        </w:rPr>
        <w:t>físicas</w:t>
      </w:r>
      <w:proofErr w:type="gramEnd"/>
      <w:r>
        <w:rPr>
          <w:rFonts w:eastAsia="Times New Roman"/>
          <w:sz w:val="24"/>
          <w:szCs w:val="24"/>
        </w:rPr>
        <w:t>, sensorial e mental. O percurso histórico da pessoa com deficiência foi marcado pelo</w:t>
      </w:r>
    </w:p>
    <w:p w:rsidR="00982EA2" w:rsidRDefault="00982EA2">
      <w:pPr>
        <w:spacing w:line="151" w:lineRule="exact"/>
        <w:rPr>
          <w:sz w:val="24"/>
          <w:szCs w:val="24"/>
        </w:rPr>
      </w:pPr>
    </w:p>
    <w:p w:rsidR="00982EA2" w:rsidRDefault="00C0456E">
      <w:pPr>
        <w:spacing w:line="348" w:lineRule="auto"/>
        <w:jc w:val="both"/>
        <w:rPr>
          <w:sz w:val="20"/>
          <w:szCs w:val="20"/>
        </w:rPr>
      </w:pPr>
      <w:proofErr w:type="gramStart"/>
      <w:r>
        <w:rPr>
          <w:rFonts w:eastAsia="Times New Roman"/>
          <w:sz w:val="24"/>
          <w:szCs w:val="24"/>
        </w:rPr>
        <w:t>preconceito</w:t>
      </w:r>
      <w:proofErr w:type="gramEnd"/>
      <w:r>
        <w:rPr>
          <w:rFonts w:eastAsia="Times New Roman"/>
          <w:sz w:val="24"/>
          <w:szCs w:val="24"/>
        </w:rPr>
        <w:t xml:space="preserve"> e discriminação, considerados como monstros, pecadores e doentes. Estigmatizados e retidos do convívio em sociedade, impossibilitados de participar </w:t>
      </w:r>
      <w:proofErr w:type="gramStart"/>
      <w:r>
        <w:rPr>
          <w:rFonts w:eastAsia="Times New Roman"/>
          <w:sz w:val="24"/>
          <w:szCs w:val="24"/>
        </w:rPr>
        <w:t>de</w:t>
      </w:r>
      <w:proofErr w:type="gramEnd"/>
    </w:p>
    <w:p w:rsidR="00982EA2" w:rsidRDefault="00982EA2">
      <w:pPr>
        <w:spacing w:line="15" w:lineRule="exact"/>
        <w:rPr>
          <w:sz w:val="24"/>
          <w:szCs w:val="24"/>
        </w:rPr>
      </w:pPr>
    </w:p>
    <w:p w:rsidR="00982EA2" w:rsidRDefault="00C0456E">
      <w:pPr>
        <w:rPr>
          <w:sz w:val="20"/>
          <w:szCs w:val="20"/>
        </w:rPr>
      </w:pPr>
      <w:proofErr w:type="gramStart"/>
      <w:r>
        <w:rPr>
          <w:rFonts w:eastAsia="Times New Roman"/>
          <w:sz w:val="24"/>
          <w:szCs w:val="24"/>
        </w:rPr>
        <w:t>atividades</w:t>
      </w:r>
      <w:proofErr w:type="gramEnd"/>
      <w:r>
        <w:rPr>
          <w:rFonts w:eastAsia="Times New Roman"/>
          <w:sz w:val="24"/>
          <w:szCs w:val="24"/>
        </w:rPr>
        <w:t xml:space="preserve"> comuns a todos os cidadãos, inclusive o ato de trabalhar.</w:t>
      </w:r>
    </w:p>
    <w:p w:rsidR="00982EA2" w:rsidRDefault="00982EA2">
      <w:pPr>
        <w:spacing w:line="137" w:lineRule="exact"/>
        <w:rPr>
          <w:sz w:val="24"/>
          <w:szCs w:val="24"/>
        </w:rPr>
      </w:pPr>
    </w:p>
    <w:p w:rsidR="00982EA2" w:rsidRDefault="00C0456E">
      <w:pPr>
        <w:ind w:left="720"/>
        <w:rPr>
          <w:sz w:val="20"/>
          <w:szCs w:val="20"/>
        </w:rPr>
      </w:pPr>
      <w:r>
        <w:rPr>
          <w:rFonts w:eastAsia="Times New Roman"/>
          <w:sz w:val="24"/>
          <w:szCs w:val="24"/>
        </w:rPr>
        <w:t xml:space="preserve">Pensar numa sociedade inclusiva, nos levar a refletir o binômio que conjuga </w:t>
      </w:r>
      <w:proofErr w:type="gramStart"/>
      <w:r>
        <w:rPr>
          <w:rFonts w:eastAsia="Times New Roman"/>
          <w:sz w:val="24"/>
          <w:szCs w:val="24"/>
        </w:rPr>
        <w:t>igualdade</w:t>
      </w:r>
      <w:proofErr w:type="gramEnd"/>
    </w:p>
    <w:p w:rsidR="00982EA2" w:rsidRDefault="00982EA2">
      <w:pPr>
        <w:spacing w:line="139" w:lineRule="exact"/>
        <w:rPr>
          <w:sz w:val="24"/>
          <w:szCs w:val="24"/>
        </w:rPr>
      </w:pPr>
    </w:p>
    <w:p w:rsidR="00982EA2" w:rsidRDefault="00C0456E">
      <w:pPr>
        <w:rPr>
          <w:sz w:val="20"/>
          <w:szCs w:val="20"/>
        </w:rPr>
      </w:pPr>
      <w:proofErr w:type="gramStart"/>
      <w:r>
        <w:rPr>
          <w:rFonts w:eastAsia="Times New Roman"/>
          <w:sz w:val="24"/>
          <w:szCs w:val="24"/>
        </w:rPr>
        <w:t>e</w:t>
      </w:r>
      <w:proofErr w:type="gramEnd"/>
      <w:r>
        <w:rPr>
          <w:rFonts w:eastAsia="Times New Roman"/>
          <w:sz w:val="24"/>
          <w:szCs w:val="24"/>
        </w:rPr>
        <w:t xml:space="preserve"> diferença, que no contexto econômico e social que vivenciamos vem sendo negado para</w:t>
      </w:r>
    </w:p>
    <w:p w:rsidR="00982EA2" w:rsidRDefault="00C0456E">
      <w:pPr>
        <w:spacing w:line="20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1270</wp:posOffset>
                </wp:positionH>
                <wp:positionV relativeFrom="paragraph">
                  <wp:posOffset>386080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0.4pt" to="144.1pt,30.4pt" o:allowincell="f" strokecolor="#000000" strokeweight="0.7199pt"/>
            </w:pict>
          </mc:Fallback>
        </mc:AlternateContent>
      </w:r>
    </w:p>
    <w:p w:rsidR="00982EA2" w:rsidRDefault="00982EA2">
      <w:pPr>
        <w:spacing w:line="200" w:lineRule="exact"/>
        <w:rPr>
          <w:sz w:val="24"/>
          <w:szCs w:val="24"/>
        </w:rPr>
      </w:pPr>
    </w:p>
    <w:p w:rsidR="00982EA2" w:rsidRDefault="00982EA2">
      <w:pPr>
        <w:spacing w:line="321" w:lineRule="exact"/>
        <w:rPr>
          <w:sz w:val="24"/>
          <w:szCs w:val="24"/>
        </w:rPr>
      </w:pPr>
    </w:p>
    <w:p w:rsidR="00982EA2" w:rsidRDefault="00C0456E">
      <w:pPr>
        <w:numPr>
          <w:ilvl w:val="0"/>
          <w:numId w:val="2"/>
        </w:numPr>
        <w:tabs>
          <w:tab w:val="left" w:pos="120"/>
        </w:tabs>
        <w:spacing w:line="203" w:lineRule="auto"/>
        <w:ind w:right="20" w:firstLine="2"/>
        <w:jc w:val="both"/>
        <w:rPr>
          <w:rFonts w:eastAsia="Times New Roman"/>
          <w:sz w:val="20"/>
          <w:szCs w:val="20"/>
        </w:rPr>
      </w:pPr>
      <w:r>
        <w:rPr>
          <w:rFonts w:eastAsia="Times New Roman"/>
          <w:sz w:val="20"/>
          <w:szCs w:val="20"/>
        </w:rPr>
        <w:t xml:space="preserve">Bacharel em Direito pela Universidade do Estado do Rio Grande do Norte. Servidor público da SEJUC do Rio Grande do Norte. E-mail: </w:t>
      </w:r>
      <w:hyperlink r:id="rId8">
        <w:r>
          <w:rPr>
            <w:rFonts w:eastAsia="Times New Roman"/>
            <w:color w:val="0000FF"/>
            <w:sz w:val="20"/>
            <w:szCs w:val="20"/>
            <w:u w:val="single"/>
          </w:rPr>
          <w:t>ka_ramon@hotmail.com</w:t>
        </w:r>
      </w:hyperlink>
    </w:p>
    <w:p w:rsidR="00982EA2" w:rsidRDefault="00982EA2">
      <w:pPr>
        <w:spacing w:line="20" w:lineRule="exact"/>
        <w:rPr>
          <w:rFonts w:eastAsia="Times New Roman"/>
          <w:sz w:val="20"/>
          <w:szCs w:val="20"/>
        </w:rPr>
      </w:pPr>
    </w:p>
    <w:p w:rsidR="00982EA2" w:rsidRDefault="00C0456E">
      <w:pPr>
        <w:numPr>
          <w:ilvl w:val="0"/>
          <w:numId w:val="2"/>
        </w:numPr>
        <w:tabs>
          <w:tab w:val="left" w:pos="142"/>
        </w:tabs>
        <w:spacing w:line="218" w:lineRule="auto"/>
        <w:ind w:firstLine="2"/>
        <w:jc w:val="both"/>
        <w:rPr>
          <w:rFonts w:eastAsia="Times New Roman"/>
          <w:color w:val="0000FF"/>
          <w:sz w:val="20"/>
          <w:szCs w:val="20"/>
          <w:u w:val="single"/>
        </w:rPr>
      </w:pPr>
      <w:r>
        <w:rPr>
          <w:rFonts w:eastAsia="Times New Roman"/>
          <w:sz w:val="20"/>
          <w:szCs w:val="20"/>
        </w:rPr>
        <w:t xml:space="preserve">Bacharel em Serviço Social pela Universidade do Estado do Rio Grande do Norte-UERN. Especialista em Educação em Direitos Humanos pela Universidade Federal do Rio Grande do Norte-UFRN. Assistente Social Residente em Atenção à Saúde da Criança no Hospital Universitário Onofre Lopes-HUOL. E-mail: </w:t>
      </w:r>
      <w:hyperlink r:id="rId9">
        <w:r>
          <w:rPr>
            <w:rFonts w:eastAsia="Times New Roman"/>
            <w:color w:val="0000FF"/>
            <w:sz w:val="20"/>
            <w:szCs w:val="20"/>
            <w:u w:val="single"/>
          </w:rPr>
          <w:t>tamaria_guerra@hotmail.com</w:t>
        </w:r>
      </w:hyperlink>
    </w:p>
    <w:p w:rsidR="00982EA2" w:rsidRDefault="00C0456E">
      <w:pPr>
        <w:spacing w:line="238" w:lineRule="auto"/>
        <w:rPr>
          <w:sz w:val="20"/>
          <w:szCs w:val="20"/>
        </w:rPr>
      </w:pPr>
      <w:r>
        <w:rPr>
          <w:rFonts w:eastAsia="Times New Roman"/>
          <w:sz w:val="24"/>
          <w:szCs w:val="24"/>
        </w:rPr>
        <w:t>Eixo Temático I - inclusão, cidadania e políticas públicas.</w:t>
      </w:r>
    </w:p>
    <w:p w:rsidR="00982EA2" w:rsidRDefault="00982EA2">
      <w:pPr>
        <w:sectPr w:rsidR="00982EA2" w:rsidSect="00B643E4">
          <w:headerReference w:type="even" r:id="rId10"/>
          <w:headerReference w:type="default" r:id="rId11"/>
          <w:footerReference w:type="even" r:id="rId12"/>
          <w:footerReference w:type="default" r:id="rId13"/>
          <w:headerReference w:type="first" r:id="rId14"/>
          <w:footerReference w:type="first" r:id="rId15"/>
          <w:pgSz w:w="11900" w:h="16838"/>
          <w:pgMar w:top="901" w:right="1120" w:bottom="1110" w:left="1700" w:header="568" w:footer="345" w:gutter="0"/>
          <w:pgNumType w:start="195"/>
          <w:cols w:space="720" w:equalWidth="0">
            <w:col w:w="9080"/>
          </w:cols>
          <w:titlePg/>
          <w:docGrid w:linePitch="299"/>
        </w:sectPr>
      </w:pPr>
    </w:p>
    <w:p w:rsidR="00982EA2" w:rsidRDefault="00C0456E">
      <w:pPr>
        <w:spacing w:line="348" w:lineRule="auto"/>
        <w:ind w:right="20"/>
        <w:jc w:val="both"/>
        <w:rPr>
          <w:sz w:val="20"/>
          <w:szCs w:val="20"/>
        </w:rPr>
      </w:pPr>
      <w:bookmarkStart w:id="1" w:name="page2"/>
      <w:bookmarkEnd w:id="1"/>
      <w:proofErr w:type="gramStart"/>
      <w:r>
        <w:rPr>
          <w:rFonts w:eastAsia="Times New Roman"/>
          <w:sz w:val="24"/>
          <w:szCs w:val="24"/>
        </w:rPr>
        <w:lastRenderedPageBreak/>
        <w:t>muitos</w:t>
      </w:r>
      <w:proofErr w:type="gramEnd"/>
      <w:r>
        <w:rPr>
          <w:rFonts w:eastAsia="Times New Roman"/>
          <w:sz w:val="24"/>
          <w:szCs w:val="24"/>
        </w:rPr>
        <w:t xml:space="preserve"> sujeitos. O sentido da “inclusão” na sociedade contemporânea, especificamente no sistema capitalista, sua função e aplicação, é o que nos inquieta e motiva a discutir a temática.</w:t>
      </w:r>
    </w:p>
    <w:p w:rsidR="00982EA2" w:rsidRDefault="00982EA2">
      <w:pPr>
        <w:spacing w:line="28" w:lineRule="exact"/>
        <w:rPr>
          <w:sz w:val="20"/>
          <w:szCs w:val="20"/>
        </w:rPr>
      </w:pPr>
    </w:p>
    <w:p w:rsidR="00982EA2" w:rsidRDefault="00C0456E">
      <w:pPr>
        <w:spacing w:line="357" w:lineRule="auto"/>
        <w:ind w:firstLine="708"/>
        <w:jc w:val="both"/>
        <w:rPr>
          <w:sz w:val="20"/>
          <w:szCs w:val="20"/>
        </w:rPr>
      </w:pPr>
      <w:r>
        <w:rPr>
          <w:rFonts w:eastAsia="Times New Roman"/>
          <w:sz w:val="24"/>
          <w:szCs w:val="24"/>
        </w:rPr>
        <w:t>Dentre as inúmeras inquietações que permearam a pesquisa nossas indagações foram direcionadas aos seguintes questionamentos; há obrigação por parte do Ente Estatal de reservar para as pessoas com deficiência, em todos os concursos públicos, vagas em sistema de cota? Qual o papel junto às pessoas com deficiência, dos tratados internacionais e sua influencia na efetivação de direitos, sua repercussão no âmbito normativo nacional? Junto à política pública, o que é ação afirmativa e o que esta representa?</w:t>
      </w:r>
    </w:p>
    <w:p w:rsidR="00982EA2" w:rsidRDefault="00982EA2">
      <w:pPr>
        <w:spacing w:line="200" w:lineRule="exact"/>
        <w:rPr>
          <w:sz w:val="20"/>
          <w:szCs w:val="20"/>
        </w:rPr>
      </w:pPr>
    </w:p>
    <w:p w:rsidR="00982EA2" w:rsidRDefault="00982EA2">
      <w:pPr>
        <w:spacing w:line="227" w:lineRule="exact"/>
        <w:rPr>
          <w:sz w:val="20"/>
          <w:szCs w:val="20"/>
        </w:rPr>
      </w:pPr>
    </w:p>
    <w:p w:rsidR="00982EA2" w:rsidRDefault="00C0456E">
      <w:pPr>
        <w:tabs>
          <w:tab w:val="left" w:pos="700"/>
        </w:tabs>
        <w:ind w:left="360"/>
        <w:rPr>
          <w:sz w:val="20"/>
          <w:szCs w:val="20"/>
        </w:rPr>
      </w:pPr>
      <w:r>
        <w:rPr>
          <w:rFonts w:eastAsia="Times New Roman"/>
          <w:b/>
          <w:bCs/>
          <w:sz w:val="24"/>
          <w:szCs w:val="24"/>
        </w:rPr>
        <w:t>2.</w:t>
      </w:r>
      <w:r>
        <w:rPr>
          <w:sz w:val="20"/>
          <w:szCs w:val="20"/>
        </w:rPr>
        <w:tab/>
      </w:r>
      <w:r>
        <w:rPr>
          <w:rFonts w:eastAsia="Times New Roman"/>
          <w:b/>
          <w:bCs/>
          <w:sz w:val="24"/>
          <w:szCs w:val="24"/>
        </w:rPr>
        <w:t>METODOLOGIA</w:t>
      </w:r>
    </w:p>
    <w:p w:rsidR="00982EA2" w:rsidRDefault="00982EA2">
      <w:pPr>
        <w:spacing w:line="200" w:lineRule="exact"/>
        <w:rPr>
          <w:sz w:val="20"/>
          <w:szCs w:val="20"/>
        </w:rPr>
      </w:pPr>
    </w:p>
    <w:p w:rsidR="00982EA2" w:rsidRDefault="00982EA2">
      <w:pPr>
        <w:spacing w:line="359" w:lineRule="exact"/>
        <w:rPr>
          <w:sz w:val="20"/>
          <w:szCs w:val="20"/>
        </w:rPr>
      </w:pPr>
    </w:p>
    <w:p w:rsidR="00982EA2" w:rsidRDefault="00C0456E">
      <w:pPr>
        <w:spacing w:line="358" w:lineRule="auto"/>
        <w:ind w:firstLine="708"/>
        <w:jc w:val="both"/>
        <w:rPr>
          <w:sz w:val="20"/>
          <w:szCs w:val="20"/>
        </w:rPr>
      </w:pPr>
      <w:r>
        <w:rPr>
          <w:rFonts w:eastAsia="Times New Roman"/>
          <w:sz w:val="24"/>
          <w:szCs w:val="24"/>
        </w:rPr>
        <w:t>Para o alcance do objeto propugnado utilizamos pesquisa bibliográfica e documental. A pesquisa bibliográfica buscou recuperar o conhecimento científico acumulado sobre a temática em consonância com o entendimento dos tribunais, analisando sua interpretação e aplicação das leis pertinentes ao tema. A pesquisa documental teve base nas legislações existentes que preconizam o direito da pessoa com deficiência, com ênfase ao acesso do mercado de trabalho. As categorias analíticas que subsidiaram o presente trabalho foram: Deficiência, Direito Constitucional, Concurso Público e Inclusão/Exclusão.</w:t>
      </w:r>
    </w:p>
    <w:p w:rsidR="00982EA2" w:rsidRDefault="00982EA2">
      <w:pPr>
        <w:spacing w:line="200" w:lineRule="exact"/>
        <w:rPr>
          <w:sz w:val="20"/>
          <w:szCs w:val="20"/>
        </w:rPr>
      </w:pPr>
    </w:p>
    <w:p w:rsidR="00982EA2" w:rsidRDefault="00982EA2">
      <w:pPr>
        <w:spacing w:line="223" w:lineRule="exact"/>
        <w:rPr>
          <w:sz w:val="20"/>
          <w:szCs w:val="20"/>
        </w:rPr>
      </w:pPr>
    </w:p>
    <w:p w:rsidR="00982EA2" w:rsidRDefault="00C0456E">
      <w:pPr>
        <w:tabs>
          <w:tab w:val="left" w:pos="700"/>
        </w:tabs>
        <w:ind w:left="360"/>
        <w:rPr>
          <w:sz w:val="20"/>
          <w:szCs w:val="20"/>
        </w:rPr>
      </w:pPr>
      <w:r>
        <w:rPr>
          <w:rFonts w:eastAsia="Times New Roman"/>
          <w:b/>
          <w:bCs/>
          <w:sz w:val="24"/>
          <w:szCs w:val="24"/>
        </w:rPr>
        <w:t>3.</w:t>
      </w:r>
      <w:r>
        <w:rPr>
          <w:sz w:val="20"/>
          <w:szCs w:val="20"/>
        </w:rPr>
        <w:tab/>
      </w:r>
      <w:r>
        <w:rPr>
          <w:rFonts w:eastAsia="Times New Roman"/>
          <w:b/>
          <w:bCs/>
          <w:sz w:val="23"/>
          <w:szCs w:val="23"/>
        </w:rPr>
        <w:t xml:space="preserve">RESULTADOS E </w:t>
      </w:r>
      <w:proofErr w:type="gramStart"/>
      <w:r>
        <w:rPr>
          <w:rFonts w:eastAsia="Times New Roman"/>
          <w:b/>
          <w:bCs/>
          <w:sz w:val="23"/>
          <w:szCs w:val="23"/>
        </w:rPr>
        <w:t>DISCUSSÕES</w:t>
      </w:r>
      <w:proofErr w:type="gramEnd"/>
    </w:p>
    <w:p w:rsidR="00982EA2" w:rsidRDefault="00982EA2">
      <w:pPr>
        <w:spacing w:line="367" w:lineRule="exact"/>
        <w:rPr>
          <w:sz w:val="20"/>
          <w:szCs w:val="20"/>
        </w:rPr>
      </w:pPr>
    </w:p>
    <w:p w:rsidR="00982EA2" w:rsidRDefault="00C0456E">
      <w:pPr>
        <w:spacing w:line="356" w:lineRule="auto"/>
        <w:ind w:firstLine="708"/>
        <w:jc w:val="both"/>
        <w:rPr>
          <w:sz w:val="20"/>
          <w:szCs w:val="20"/>
        </w:rPr>
      </w:pPr>
      <w:r>
        <w:rPr>
          <w:rFonts w:eastAsia="Times New Roman"/>
          <w:sz w:val="24"/>
          <w:szCs w:val="24"/>
        </w:rPr>
        <w:t xml:space="preserve">Por conseguinte, as ações afirmativas </w:t>
      </w:r>
      <w:proofErr w:type="gramStart"/>
      <w:r>
        <w:rPr>
          <w:rFonts w:eastAsia="Times New Roman"/>
          <w:sz w:val="24"/>
          <w:szCs w:val="24"/>
        </w:rPr>
        <w:t>tratam-se</w:t>
      </w:r>
      <w:proofErr w:type="gramEnd"/>
      <w:r>
        <w:rPr>
          <w:rFonts w:eastAsia="Times New Roman"/>
          <w:sz w:val="24"/>
          <w:szCs w:val="24"/>
        </w:rPr>
        <w:t xml:space="preserve"> de mecanismos de inclusão concebidas pelo estado soberano, e que tem seu diferencial na competência jurisdicional atribuída a estas, especialíssimas por serem dotadas de um objetivo constitucional e universal; a concretização da dignidade humana em efetiva igualdade.</w:t>
      </w:r>
    </w:p>
    <w:p w:rsidR="00982EA2" w:rsidRDefault="00982EA2">
      <w:pPr>
        <w:spacing w:line="16" w:lineRule="exact"/>
        <w:rPr>
          <w:sz w:val="20"/>
          <w:szCs w:val="20"/>
        </w:rPr>
      </w:pPr>
    </w:p>
    <w:p w:rsidR="00982EA2" w:rsidRDefault="00C0456E">
      <w:pPr>
        <w:spacing w:line="358" w:lineRule="auto"/>
        <w:ind w:firstLine="708"/>
        <w:jc w:val="both"/>
        <w:rPr>
          <w:sz w:val="20"/>
          <w:szCs w:val="20"/>
        </w:rPr>
      </w:pPr>
      <w:r>
        <w:rPr>
          <w:rFonts w:eastAsia="Times New Roman"/>
          <w:sz w:val="24"/>
          <w:szCs w:val="24"/>
        </w:rPr>
        <w:t xml:space="preserve">Nesse ínterim é importante salientar a ação afirmativa como um imperativo de atuação ativa, em que Gomes cita que o Estado “ao invés de conceber políticas públicas de que todos seriam beneficiados independente da sua raça, cor ou sexo, o Estado passa a levar em consideração esses fatores, na </w:t>
      </w:r>
      <w:proofErr w:type="gramStart"/>
      <w:r>
        <w:rPr>
          <w:rFonts w:eastAsia="Times New Roman"/>
          <w:sz w:val="24"/>
          <w:szCs w:val="24"/>
        </w:rPr>
        <w:t>implementação</w:t>
      </w:r>
      <w:proofErr w:type="gramEnd"/>
      <w:r>
        <w:rPr>
          <w:rFonts w:eastAsia="Times New Roman"/>
          <w:sz w:val="24"/>
          <w:szCs w:val="24"/>
        </w:rPr>
        <w:t xml:space="preserve"> das suas decisões”. Para este as ações afirmativas podem ser conceituadas, como um grupo de políticas públicas e privadas de caráter obrigatório, facultativo ou voluntário, concebidas com vista ao combate à discriminação, bem como para corrigir os efeitos presentes da discriminação praticada no passado; é a busca da concretização efetiva da igualdade de “acesso a bens como educação e emprego”.</w:t>
      </w:r>
    </w:p>
    <w:p w:rsidR="00982EA2" w:rsidRDefault="00982EA2">
      <w:pPr>
        <w:sectPr w:rsidR="00982EA2" w:rsidSect="00CE6DBD">
          <w:pgSz w:w="11900" w:h="16838"/>
          <w:pgMar w:top="901" w:right="1120" w:bottom="836" w:left="1700" w:header="568" w:footer="333" w:gutter="0"/>
          <w:cols w:space="720" w:equalWidth="0">
            <w:col w:w="9080"/>
          </w:cols>
        </w:sectPr>
      </w:pPr>
    </w:p>
    <w:p w:rsidR="00982EA2" w:rsidRDefault="00982EA2">
      <w:pPr>
        <w:spacing w:line="200" w:lineRule="exact"/>
        <w:rPr>
          <w:sz w:val="20"/>
          <w:szCs w:val="20"/>
        </w:rPr>
      </w:pPr>
      <w:bookmarkStart w:id="2" w:name="page3"/>
      <w:bookmarkEnd w:id="2"/>
    </w:p>
    <w:p w:rsidR="00982EA2" w:rsidRDefault="00C0456E" w:rsidP="00F67600">
      <w:pPr>
        <w:spacing w:line="357" w:lineRule="auto"/>
        <w:ind w:right="20" w:firstLine="709"/>
        <w:jc w:val="both"/>
        <w:rPr>
          <w:sz w:val="20"/>
          <w:szCs w:val="20"/>
        </w:rPr>
      </w:pPr>
      <w:r>
        <w:rPr>
          <w:rFonts w:eastAsia="Times New Roman"/>
          <w:sz w:val="24"/>
          <w:szCs w:val="24"/>
        </w:rPr>
        <w:t>No tocante, as inserções no mercado de trabalho pelas ações afirmativas do Estado, encontram-se regulada em parte da lei 8.112, de 11 de dezembro de 1990 (disciplina o regime estatutário de servidores da União). Especifica que os cargos serão compatíveis com as possibilidades de atuação de cada deficiência e que poderá ser destinado até 20% do total das vagas oferecidas no concurso (art. 5º, § 2º).</w:t>
      </w:r>
    </w:p>
    <w:p w:rsidR="00982EA2" w:rsidRDefault="00982EA2">
      <w:pPr>
        <w:spacing w:line="16" w:lineRule="exact"/>
        <w:rPr>
          <w:sz w:val="20"/>
          <w:szCs w:val="20"/>
        </w:rPr>
      </w:pPr>
    </w:p>
    <w:p w:rsidR="00982EA2" w:rsidRDefault="00C0456E">
      <w:pPr>
        <w:spacing w:line="358" w:lineRule="auto"/>
        <w:ind w:firstLine="708"/>
        <w:jc w:val="both"/>
        <w:rPr>
          <w:sz w:val="20"/>
          <w:szCs w:val="20"/>
        </w:rPr>
      </w:pPr>
      <w:r>
        <w:rPr>
          <w:rFonts w:eastAsia="Times New Roman"/>
          <w:sz w:val="24"/>
          <w:szCs w:val="24"/>
        </w:rPr>
        <w:t>Não é correta a interpretação de que existam cargos insuscetíveis de destinação a reserva constitucional por ser alegada necessidade de “plenas funções humanas”. Pois, na abstração da normativa, está especificado o preenchimento do cargo público por servidor ou titular capaz do exercício profissional, não descriminando condições físicas, mas fator de possibilidade de provimento pelo indivíduo. O fato de a administração pública ter o dever de efetivação dos serviços públicos, que lhe são devidos para o bem coletivo e supremacia de interesse público, não a permite justificar o desrespeito a princípios constitucionais. Deve haver a possibilidade de demonstrar o pleno uso do seu direito a vagas em certos concursos públicos por estar apto ao exercício profissional.</w:t>
      </w:r>
    </w:p>
    <w:p w:rsidR="00982EA2" w:rsidRDefault="00982EA2">
      <w:pPr>
        <w:spacing w:line="23" w:lineRule="exact"/>
        <w:rPr>
          <w:sz w:val="20"/>
          <w:szCs w:val="20"/>
        </w:rPr>
      </w:pPr>
    </w:p>
    <w:p w:rsidR="00982EA2" w:rsidRDefault="00C0456E">
      <w:pPr>
        <w:spacing w:line="358" w:lineRule="auto"/>
        <w:ind w:firstLine="708"/>
        <w:jc w:val="both"/>
        <w:rPr>
          <w:sz w:val="20"/>
          <w:szCs w:val="20"/>
        </w:rPr>
      </w:pPr>
      <w:r>
        <w:rPr>
          <w:rFonts w:eastAsia="Times New Roman"/>
          <w:sz w:val="24"/>
          <w:szCs w:val="24"/>
        </w:rPr>
        <w:t xml:space="preserve">É meritório o caráter de avaliação e não assistencialista para a posse de pessoas com deficiência nas vagas reservadas, pois para todos os participantes do processo de avaliação há expectativa de direito. Importante frisar, que as pessoas com deficiência não estão excluídos da necessidade de aprovação em concurso público, para tomar posse em cargos ou empregos públicos. Será realizado o concurso em igualdade de condições com os demais candidatos, logicamente tomada à necessidade de adaptação para a deficiência. A própria Súmula nº 684 diz que “é inconstitucional o veto não motivado à participação de candidato a concurso público”, sendo que em alusão as pessoas com deficiência, </w:t>
      </w:r>
      <w:proofErr w:type="gramStart"/>
      <w:r>
        <w:rPr>
          <w:rFonts w:eastAsia="Times New Roman"/>
          <w:sz w:val="24"/>
          <w:szCs w:val="24"/>
        </w:rPr>
        <w:t>era comum</w:t>
      </w:r>
      <w:proofErr w:type="gramEnd"/>
      <w:r>
        <w:rPr>
          <w:rFonts w:eastAsia="Times New Roman"/>
          <w:sz w:val="24"/>
          <w:szCs w:val="24"/>
        </w:rPr>
        <w:t xml:space="preserve"> os casos de exclusão destes, em seleções para atividade pública e exames de saúde em concurso público, sem qualquer fundamentação plausível.</w:t>
      </w:r>
    </w:p>
    <w:p w:rsidR="00982EA2" w:rsidRDefault="00982EA2">
      <w:pPr>
        <w:spacing w:line="200" w:lineRule="exact"/>
        <w:rPr>
          <w:sz w:val="20"/>
          <w:szCs w:val="20"/>
        </w:rPr>
      </w:pPr>
    </w:p>
    <w:p w:rsidR="00982EA2" w:rsidRDefault="00982EA2">
      <w:pPr>
        <w:spacing w:line="229" w:lineRule="exact"/>
        <w:rPr>
          <w:sz w:val="20"/>
          <w:szCs w:val="20"/>
        </w:rPr>
      </w:pPr>
    </w:p>
    <w:p w:rsidR="00982EA2" w:rsidRDefault="00C0456E">
      <w:pPr>
        <w:tabs>
          <w:tab w:val="left" w:pos="700"/>
        </w:tabs>
        <w:ind w:left="360"/>
        <w:rPr>
          <w:sz w:val="20"/>
          <w:szCs w:val="20"/>
        </w:rPr>
      </w:pPr>
      <w:r>
        <w:rPr>
          <w:rFonts w:eastAsia="Times New Roman"/>
          <w:b/>
          <w:bCs/>
          <w:sz w:val="24"/>
          <w:szCs w:val="24"/>
        </w:rPr>
        <w:t>4.</w:t>
      </w:r>
      <w:r>
        <w:rPr>
          <w:sz w:val="20"/>
          <w:szCs w:val="20"/>
        </w:rPr>
        <w:tab/>
      </w:r>
      <w:r>
        <w:rPr>
          <w:rFonts w:eastAsia="Times New Roman"/>
          <w:b/>
          <w:bCs/>
          <w:sz w:val="24"/>
          <w:szCs w:val="24"/>
        </w:rPr>
        <w:t>CONCLUSÃO</w:t>
      </w:r>
    </w:p>
    <w:p w:rsidR="00982EA2" w:rsidRDefault="00982EA2">
      <w:pPr>
        <w:spacing w:line="365" w:lineRule="exact"/>
        <w:rPr>
          <w:sz w:val="20"/>
          <w:szCs w:val="20"/>
        </w:rPr>
      </w:pPr>
    </w:p>
    <w:p w:rsidR="00982EA2" w:rsidRDefault="00C0456E">
      <w:pPr>
        <w:spacing w:line="358" w:lineRule="auto"/>
        <w:ind w:firstLine="696"/>
        <w:jc w:val="both"/>
        <w:rPr>
          <w:sz w:val="20"/>
          <w:szCs w:val="20"/>
        </w:rPr>
      </w:pPr>
      <w:r>
        <w:rPr>
          <w:rFonts w:eastAsia="Times New Roman"/>
          <w:sz w:val="24"/>
          <w:szCs w:val="24"/>
        </w:rPr>
        <w:t xml:space="preserve">Deveras a força vinculativa dos tratados e convenções de direitos humanos nas constituições contemporâneas, a concepção de que a ação do Estado deve ter como base as necessidades e preocupações da pessoa com deficiência é o ponto principal no desenvolvimento da ação afirmativa do Estado. Deve ser usado para o desenvolvimento de programas e medidas para pessoas com deficiência por parte das comunidades locais. Assim, facilitar os planos de desenvolvimento gerais e específicos, em seus regionalismos, e o uso </w:t>
      </w:r>
      <w:proofErr w:type="gramStart"/>
      <w:r>
        <w:rPr>
          <w:rFonts w:eastAsia="Times New Roman"/>
          <w:sz w:val="24"/>
          <w:szCs w:val="24"/>
        </w:rPr>
        <w:t>da</w:t>
      </w:r>
      <w:proofErr w:type="gramEnd"/>
    </w:p>
    <w:p w:rsidR="00982EA2" w:rsidRDefault="00982EA2">
      <w:pPr>
        <w:sectPr w:rsidR="00982EA2" w:rsidSect="00CE6DBD">
          <w:pgSz w:w="11900" w:h="16838"/>
          <w:pgMar w:top="901" w:right="1120" w:bottom="1440" w:left="1700" w:header="426" w:footer="902" w:gutter="0"/>
          <w:cols w:space="720" w:equalWidth="0">
            <w:col w:w="9080"/>
          </w:cols>
        </w:sectPr>
      </w:pPr>
    </w:p>
    <w:p w:rsidR="00982EA2" w:rsidRDefault="00C0456E">
      <w:pPr>
        <w:rPr>
          <w:sz w:val="20"/>
          <w:szCs w:val="20"/>
        </w:rPr>
      </w:pPr>
      <w:bookmarkStart w:id="3" w:name="page4"/>
      <w:bookmarkEnd w:id="3"/>
      <w:proofErr w:type="gramStart"/>
      <w:r>
        <w:rPr>
          <w:rFonts w:eastAsia="Times New Roman"/>
          <w:sz w:val="24"/>
          <w:szCs w:val="24"/>
        </w:rPr>
        <w:lastRenderedPageBreak/>
        <w:t>identidade</w:t>
      </w:r>
      <w:proofErr w:type="gramEnd"/>
      <w:r>
        <w:rPr>
          <w:rFonts w:eastAsia="Times New Roman"/>
          <w:sz w:val="24"/>
          <w:szCs w:val="24"/>
        </w:rPr>
        <w:t xml:space="preserve"> da pessoa com deficiência que passa a ser incorporadas e não tratada em separado,</w:t>
      </w:r>
    </w:p>
    <w:p w:rsidR="00982EA2" w:rsidRDefault="00982EA2">
      <w:pPr>
        <w:spacing w:line="137" w:lineRule="exact"/>
        <w:rPr>
          <w:sz w:val="20"/>
          <w:szCs w:val="20"/>
        </w:rPr>
      </w:pPr>
    </w:p>
    <w:p w:rsidR="00982EA2" w:rsidRDefault="00C0456E">
      <w:pPr>
        <w:rPr>
          <w:sz w:val="20"/>
          <w:szCs w:val="20"/>
        </w:rPr>
      </w:pPr>
      <w:proofErr w:type="gramStart"/>
      <w:r>
        <w:rPr>
          <w:rFonts w:eastAsia="Times New Roman"/>
          <w:sz w:val="24"/>
          <w:szCs w:val="24"/>
        </w:rPr>
        <w:t>são</w:t>
      </w:r>
      <w:proofErr w:type="gramEnd"/>
      <w:r>
        <w:rPr>
          <w:rFonts w:eastAsia="Times New Roman"/>
          <w:sz w:val="24"/>
          <w:szCs w:val="24"/>
        </w:rPr>
        <w:t xml:space="preserve"> a nova concepção para se nortear a ação afirmativa do Estado para inclusão.</w:t>
      </w:r>
    </w:p>
    <w:p w:rsidR="00982EA2" w:rsidRDefault="00982EA2">
      <w:pPr>
        <w:spacing w:line="139" w:lineRule="exact"/>
        <w:rPr>
          <w:sz w:val="20"/>
          <w:szCs w:val="20"/>
        </w:rPr>
      </w:pPr>
    </w:p>
    <w:p w:rsidR="00982EA2" w:rsidRDefault="00C0456E">
      <w:pPr>
        <w:ind w:left="700"/>
        <w:rPr>
          <w:sz w:val="20"/>
          <w:szCs w:val="20"/>
        </w:rPr>
      </w:pPr>
      <w:r>
        <w:rPr>
          <w:rFonts w:eastAsia="Times New Roman"/>
          <w:sz w:val="24"/>
          <w:szCs w:val="24"/>
        </w:rPr>
        <w:t xml:space="preserve">O principio da dignidade da pessoa humana serve de amarra, ponto base e </w:t>
      </w:r>
      <w:proofErr w:type="gramStart"/>
      <w:r>
        <w:rPr>
          <w:rFonts w:eastAsia="Times New Roman"/>
          <w:sz w:val="24"/>
          <w:szCs w:val="24"/>
        </w:rPr>
        <w:t>justificativa</w:t>
      </w:r>
      <w:proofErr w:type="gramEnd"/>
    </w:p>
    <w:p w:rsidR="00982EA2" w:rsidRDefault="00982EA2">
      <w:pPr>
        <w:spacing w:line="137" w:lineRule="exact"/>
        <w:rPr>
          <w:sz w:val="20"/>
          <w:szCs w:val="20"/>
        </w:rPr>
      </w:pPr>
    </w:p>
    <w:p w:rsidR="00982EA2" w:rsidRDefault="00C0456E">
      <w:pPr>
        <w:rPr>
          <w:sz w:val="20"/>
          <w:szCs w:val="20"/>
        </w:rPr>
      </w:pPr>
      <w:proofErr w:type="gramStart"/>
      <w:r>
        <w:rPr>
          <w:rFonts w:eastAsia="Times New Roman"/>
          <w:sz w:val="24"/>
          <w:szCs w:val="24"/>
        </w:rPr>
        <w:t>dos</w:t>
      </w:r>
      <w:proofErr w:type="gramEnd"/>
      <w:r>
        <w:rPr>
          <w:rFonts w:eastAsia="Times New Roman"/>
          <w:sz w:val="24"/>
          <w:szCs w:val="24"/>
        </w:rPr>
        <w:t xml:space="preserve"> direitos fundamentais, perfazendo-se necessária uma serie de condutas por parte do ente</w:t>
      </w:r>
    </w:p>
    <w:p w:rsidR="00982EA2" w:rsidRDefault="00982EA2">
      <w:pPr>
        <w:spacing w:line="139" w:lineRule="exact"/>
        <w:rPr>
          <w:sz w:val="20"/>
          <w:szCs w:val="20"/>
        </w:rPr>
      </w:pPr>
    </w:p>
    <w:p w:rsidR="00982EA2" w:rsidRDefault="00C0456E">
      <w:pPr>
        <w:rPr>
          <w:sz w:val="20"/>
          <w:szCs w:val="20"/>
        </w:rPr>
      </w:pPr>
      <w:proofErr w:type="gramStart"/>
      <w:r>
        <w:rPr>
          <w:rFonts w:eastAsia="Times New Roman"/>
          <w:sz w:val="24"/>
          <w:szCs w:val="24"/>
        </w:rPr>
        <w:t>estatal</w:t>
      </w:r>
      <w:proofErr w:type="gramEnd"/>
      <w:r>
        <w:rPr>
          <w:rFonts w:eastAsia="Times New Roman"/>
          <w:sz w:val="24"/>
          <w:szCs w:val="24"/>
        </w:rPr>
        <w:t xml:space="preserve"> para à efetivação dos direitos constitucionais. Na dignidade humana essencial que os</w:t>
      </w:r>
    </w:p>
    <w:p w:rsidR="00982EA2" w:rsidRDefault="00982EA2">
      <w:pPr>
        <w:spacing w:line="137" w:lineRule="exact"/>
        <w:rPr>
          <w:sz w:val="20"/>
          <w:szCs w:val="20"/>
        </w:rPr>
      </w:pPr>
    </w:p>
    <w:p w:rsidR="00982EA2" w:rsidRDefault="00C0456E">
      <w:pPr>
        <w:rPr>
          <w:sz w:val="20"/>
          <w:szCs w:val="20"/>
        </w:rPr>
      </w:pPr>
      <w:proofErr w:type="gramStart"/>
      <w:r>
        <w:rPr>
          <w:rFonts w:eastAsia="Times New Roman"/>
          <w:sz w:val="24"/>
          <w:szCs w:val="24"/>
        </w:rPr>
        <w:t>direitos</w:t>
      </w:r>
      <w:proofErr w:type="gramEnd"/>
      <w:r>
        <w:rPr>
          <w:rFonts w:eastAsia="Times New Roman"/>
          <w:sz w:val="24"/>
          <w:szCs w:val="24"/>
        </w:rPr>
        <w:t xml:space="preserve"> sociais tenham plena eficácia máxima, na forma da vontade constitucional. Todo o</w:t>
      </w:r>
    </w:p>
    <w:p w:rsidR="00982EA2" w:rsidRDefault="00982EA2">
      <w:pPr>
        <w:spacing w:line="139" w:lineRule="exact"/>
        <w:rPr>
          <w:sz w:val="20"/>
          <w:szCs w:val="20"/>
        </w:rPr>
      </w:pPr>
    </w:p>
    <w:p w:rsidR="00982EA2" w:rsidRDefault="00C0456E">
      <w:pPr>
        <w:rPr>
          <w:sz w:val="20"/>
          <w:szCs w:val="20"/>
        </w:rPr>
      </w:pPr>
      <w:proofErr w:type="gramStart"/>
      <w:r>
        <w:rPr>
          <w:rFonts w:eastAsia="Times New Roman"/>
          <w:sz w:val="24"/>
          <w:szCs w:val="24"/>
        </w:rPr>
        <w:t>âmbito</w:t>
      </w:r>
      <w:proofErr w:type="gramEnd"/>
      <w:r>
        <w:rPr>
          <w:rFonts w:eastAsia="Times New Roman"/>
          <w:sz w:val="24"/>
          <w:szCs w:val="24"/>
        </w:rPr>
        <w:t xml:space="preserve"> jurídico deve conferir a dignidade humana, um valor próprio e intrínseco a cada</w:t>
      </w:r>
    </w:p>
    <w:p w:rsidR="00982EA2" w:rsidRDefault="00982EA2">
      <w:pPr>
        <w:spacing w:line="137" w:lineRule="exact"/>
        <w:rPr>
          <w:sz w:val="20"/>
          <w:szCs w:val="20"/>
        </w:rPr>
      </w:pPr>
    </w:p>
    <w:p w:rsidR="00982EA2" w:rsidRDefault="00C0456E">
      <w:pPr>
        <w:rPr>
          <w:sz w:val="20"/>
          <w:szCs w:val="20"/>
        </w:rPr>
      </w:pPr>
      <w:proofErr w:type="gramStart"/>
      <w:r>
        <w:rPr>
          <w:rFonts w:eastAsia="Times New Roman"/>
          <w:sz w:val="24"/>
          <w:szCs w:val="24"/>
        </w:rPr>
        <w:t>pessoa</w:t>
      </w:r>
      <w:proofErr w:type="gramEnd"/>
      <w:r>
        <w:rPr>
          <w:rFonts w:eastAsia="Times New Roman"/>
          <w:sz w:val="24"/>
          <w:szCs w:val="24"/>
        </w:rPr>
        <w:t xml:space="preserve"> com deficiência,  tanto subjetivamente como objetivamente, para a concreção dos</w:t>
      </w:r>
    </w:p>
    <w:p w:rsidR="00982EA2" w:rsidRDefault="00982EA2">
      <w:pPr>
        <w:spacing w:line="139" w:lineRule="exact"/>
        <w:rPr>
          <w:sz w:val="20"/>
          <w:szCs w:val="20"/>
        </w:rPr>
      </w:pPr>
    </w:p>
    <w:p w:rsidR="00982EA2" w:rsidRDefault="00C0456E">
      <w:pPr>
        <w:rPr>
          <w:sz w:val="20"/>
          <w:szCs w:val="20"/>
        </w:rPr>
      </w:pPr>
      <w:proofErr w:type="gramStart"/>
      <w:r>
        <w:rPr>
          <w:rFonts w:eastAsia="Times New Roman"/>
          <w:sz w:val="24"/>
          <w:szCs w:val="24"/>
        </w:rPr>
        <w:t>direitos</w:t>
      </w:r>
      <w:proofErr w:type="gramEnd"/>
      <w:r>
        <w:rPr>
          <w:rFonts w:eastAsia="Times New Roman"/>
          <w:sz w:val="24"/>
          <w:szCs w:val="24"/>
        </w:rPr>
        <w:t xml:space="preserve"> fundamentais.</w:t>
      </w:r>
    </w:p>
    <w:p w:rsidR="00982EA2" w:rsidRDefault="00982EA2">
      <w:pPr>
        <w:spacing w:line="200" w:lineRule="exact"/>
        <w:rPr>
          <w:sz w:val="20"/>
          <w:szCs w:val="20"/>
        </w:rPr>
      </w:pPr>
    </w:p>
    <w:p w:rsidR="00982EA2" w:rsidRDefault="00982EA2">
      <w:pPr>
        <w:spacing w:line="357" w:lineRule="exact"/>
        <w:rPr>
          <w:sz w:val="20"/>
          <w:szCs w:val="20"/>
        </w:rPr>
      </w:pPr>
    </w:p>
    <w:p w:rsidR="00982EA2" w:rsidRDefault="00C0456E">
      <w:pPr>
        <w:tabs>
          <w:tab w:val="left" w:pos="700"/>
        </w:tabs>
        <w:spacing w:line="239" w:lineRule="auto"/>
        <w:ind w:left="360"/>
        <w:rPr>
          <w:sz w:val="20"/>
          <w:szCs w:val="20"/>
        </w:rPr>
      </w:pPr>
      <w:r>
        <w:rPr>
          <w:rFonts w:eastAsia="Times New Roman"/>
          <w:b/>
          <w:bCs/>
          <w:sz w:val="24"/>
          <w:szCs w:val="24"/>
        </w:rPr>
        <w:t>5.</w:t>
      </w:r>
      <w:r>
        <w:rPr>
          <w:sz w:val="20"/>
          <w:szCs w:val="20"/>
        </w:rPr>
        <w:tab/>
      </w:r>
      <w:r>
        <w:rPr>
          <w:rFonts w:eastAsia="Times New Roman"/>
          <w:b/>
          <w:bCs/>
          <w:sz w:val="23"/>
          <w:szCs w:val="23"/>
        </w:rPr>
        <w:t>REFERÊNCIAS</w:t>
      </w:r>
    </w:p>
    <w:p w:rsidR="00982EA2" w:rsidRDefault="00982EA2">
      <w:pPr>
        <w:spacing w:line="200" w:lineRule="exact"/>
        <w:rPr>
          <w:sz w:val="20"/>
          <w:szCs w:val="20"/>
        </w:rPr>
      </w:pPr>
    </w:p>
    <w:p w:rsidR="00982EA2" w:rsidRDefault="00982EA2">
      <w:pPr>
        <w:spacing w:line="200" w:lineRule="exact"/>
        <w:rPr>
          <w:sz w:val="20"/>
          <w:szCs w:val="20"/>
        </w:rPr>
      </w:pPr>
    </w:p>
    <w:p w:rsidR="00982EA2" w:rsidRDefault="00982EA2">
      <w:pPr>
        <w:spacing w:line="286" w:lineRule="exact"/>
        <w:rPr>
          <w:sz w:val="20"/>
          <w:szCs w:val="20"/>
        </w:rPr>
      </w:pPr>
    </w:p>
    <w:p w:rsidR="00982EA2" w:rsidRDefault="00C0456E">
      <w:pPr>
        <w:rPr>
          <w:sz w:val="20"/>
          <w:szCs w:val="20"/>
        </w:rPr>
      </w:pPr>
      <w:r>
        <w:rPr>
          <w:rFonts w:ascii="Arial" w:eastAsia="Arial" w:hAnsi="Arial" w:cs="Arial"/>
          <w:sz w:val="24"/>
          <w:szCs w:val="24"/>
        </w:rPr>
        <w:t xml:space="preserve">BRASIL. </w:t>
      </w:r>
      <w:r>
        <w:rPr>
          <w:rFonts w:ascii="Arial" w:eastAsia="Arial" w:hAnsi="Arial" w:cs="Arial"/>
          <w:b/>
          <w:bCs/>
          <w:sz w:val="24"/>
          <w:szCs w:val="24"/>
        </w:rPr>
        <w:t>Constituição da República Federativa do Brasil</w:t>
      </w:r>
      <w:r>
        <w:rPr>
          <w:rFonts w:ascii="Arial" w:eastAsia="Arial" w:hAnsi="Arial" w:cs="Arial"/>
          <w:sz w:val="24"/>
          <w:szCs w:val="24"/>
        </w:rPr>
        <w:t>. Brasília, 1988.</w:t>
      </w:r>
    </w:p>
    <w:p w:rsidR="00982EA2" w:rsidRDefault="00982EA2">
      <w:pPr>
        <w:spacing w:line="283" w:lineRule="exact"/>
        <w:rPr>
          <w:sz w:val="20"/>
          <w:szCs w:val="20"/>
        </w:rPr>
      </w:pPr>
    </w:p>
    <w:p w:rsidR="00982EA2" w:rsidRDefault="00C0456E">
      <w:pPr>
        <w:spacing w:line="237" w:lineRule="auto"/>
        <w:jc w:val="both"/>
        <w:rPr>
          <w:sz w:val="20"/>
          <w:szCs w:val="20"/>
        </w:rPr>
      </w:pPr>
      <w:r>
        <w:rPr>
          <w:rFonts w:eastAsia="Times New Roman"/>
          <w:sz w:val="24"/>
          <w:szCs w:val="24"/>
        </w:rPr>
        <w:t xml:space="preserve">_______. Lei 8.112, de 11 de dezembro de 1990. Dispõe sobre o regime </w:t>
      </w:r>
      <w:proofErr w:type="gramStart"/>
      <w:r>
        <w:rPr>
          <w:rFonts w:eastAsia="Times New Roman"/>
          <w:sz w:val="24"/>
          <w:szCs w:val="24"/>
        </w:rPr>
        <w:t>jurídico dos servidores públicos civis da União, das autarquias e das fundações públicas federais</w:t>
      </w:r>
      <w:proofErr w:type="gramEnd"/>
      <w:r>
        <w:rPr>
          <w:rFonts w:eastAsia="Times New Roman"/>
          <w:sz w:val="24"/>
          <w:szCs w:val="24"/>
        </w:rPr>
        <w:t>. Disponível em: www.planalto.gov.br/ccivil_03/leis/l8112cons.htm. Acessado em 10 de Ago. de 2013.</w:t>
      </w:r>
    </w:p>
    <w:p w:rsidR="00982EA2" w:rsidRDefault="00982EA2">
      <w:pPr>
        <w:spacing w:line="290" w:lineRule="exact"/>
        <w:rPr>
          <w:sz w:val="20"/>
          <w:szCs w:val="20"/>
        </w:rPr>
      </w:pPr>
    </w:p>
    <w:p w:rsidR="00982EA2" w:rsidRDefault="00C0456E">
      <w:pPr>
        <w:spacing w:line="237" w:lineRule="auto"/>
        <w:jc w:val="both"/>
        <w:rPr>
          <w:sz w:val="20"/>
          <w:szCs w:val="20"/>
        </w:rPr>
      </w:pPr>
      <w:r>
        <w:rPr>
          <w:rFonts w:eastAsia="Times New Roman"/>
          <w:sz w:val="24"/>
          <w:szCs w:val="24"/>
        </w:rPr>
        <w:t xml:space="preserve">_______. Lei </w:t>
      </w:r>
      <w:proofErr w:type="gramStart"/>
      <w:r>
        <w:rPr>
          <w:rFonts w:eastAsia="Times New Roman"/>
          <w:sz w:val="24"/>
          <w:szCs w:val="24"/>
        </w:rPr>
        <w:t>7.596,</w:t>
      </w:r>
      <w:proofErr w:type="gramEnd"/>
      <w:r>
        <w:rPr>
          <w:rFonts w:eastAsia="Times New Roman"/>
          <w:sz w:val="24"/>
          <w:szCs w:val="24"/>
        </w:rPr>
        <w:t xml:space="preserve">de 10 de abril de 1987. </w:t>
      </w:r>
      <w:proofErr w:type="gramStart"/>
      <w:r>
        <w:rPr>
          <w:rFonts w:eastAsia="Times New Roman"/>
          <w:sz w:val="24"/>
          <w:szCs w:val="24"/>
        </w:rPr>
        <w:t>Altera</w:t>
      </w:r>
      <w:proofErr w:type="gramEnd"/>
      <w:r>
        <w:rPr>
          <w:rFonts w:eastAsia="Times New Roman"/>
          <w:sz w:val="24"/>
          <w:szCs w:val="24"/>
        </w:rPr>
        <w:t xml:space="preserve"> dispositivos do Decreto-lei nº 200, de 25 de fevereiro de 1967, modificado pelo Decreto-lei nº 900, de 29 de setembro de 1969, e pelo Decreto-lei nº 2.299, de 21 de novembro de 1986, e dá outras providências. Disponível em: http://www.planalto.gov.br/ccivil_03/leis/l7596.htm. Acessado em 10 de Ago. de 2013.</w:t>
      </w:r>
    </w:p>
    <w:p w:rsidR="00982EA2" w:rsidRDefault="00982EA2">
      <w:pPr>
        <w:spacing w:line="290" w:lineRule="exact"/>
        <w:rPr>
          <w:sz w:val="20"/>
          <w:szCs w:val="20"/>
        </w:rPr>
      </w:pPr>
    </w:p>
    <w:p w:rsidR="00982EA2" w:rsidRDefault="00C0456E">
      <w:pPr>
        <w:spacing w:line="237" w:lineRule="auto"/>
        <w:jc w:val="both"/>
        <w:rPr>
          <w:rFonts w:eastAsia="Times New Roman"/>
          <w:color w:val="0000FF"/>
          <w:sz w:val="24"/>
          <w:szCs w:val="24"/>
        </w:rPr>
      </w:pPr>
      <w:r>
        <w:rPr>
          <w:rFonts w:eastAsia="Times New Roman"/>
          <w:sz w:val="24"/>
          <w:szCs w:val="24"/>
        </w:rPr>
        <w:t xml:space="preserve">______. </w:t>
      </w:r>
      <w:r>
        <w:rPr>
          <w:rFonts w:eastAsia="Times New Roman"/>
          <w:b/>
          <w:bCs/>
          <w:sz w:val="24"/>
          <w:szCs w:val="24"/>
        </w:rPr>
        <w:t>Decreto</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sz w:val="24"/>
          <w:szCs w:val="24"/>
        </w:rPr>
        <w:t>lei nº 3.298</w:t>
      </w:r>
      <w:r>
        <w:rPr>
          <w:rFonts w:eastAsia="Times New Roman"/>
          <w:sz w:val="24"/>
          <w:szCs w:val="24"/>
        </w:rPr>
        <w:t xml:space="preserve">, de 20 de dezembro de 2009. </w:t>
      </w:r>
      <w:r>
        <w:rPr>
          <w:rFonts w:eastAsia="Times New Roman"/>
          <w:b/>
          <w:bCs/>
          <w:sz w:val="24"/>
          <w:szCs w:val="24"/>
        </w:rPr>
        <w:t>Regulamentada na lei 7.853</w:t>
      </w:r>
      <w:r>
        <w:rPr>
          <w:rFonts w:eastAsia="Times New Roman"/>
          <w:sz w:val="24"/>
          <w:szCs w:val="24"/>
        </w:rPr>
        <w:t xml:space="preserve">, de 24 de 1989, dispõe sobre a </w:t>
      </w:r>
      <w:r>
        <w:rPr>
          <w:rFonts w:eastAsia="Times New Roman"/>
          <w:b/>
          <w:bCs/>
          <w:sz w:val="24"/>
          <w:szCs w:val="24"/>
        </w:rPr>
        <w:t>Política Nacional para Integração da Pessoa Portadora de</w:t>
      </w:r>
      <w:r>
        <w:rPr>
          <w:rFonts w:eastAsia="Times New Roman"/>
          <w:sz w:val="24"/>
          <w:szCs w:val="24"/>
        </w:rPr>
        <w:t xml:space="preserve"> </w:t>
      </w:r>
      <w:r>
        <w:rPr>
          <w:rFonts w:eastAsia="Times New Roman"/>
          <w:b/>
          <w:bCs/>
          <w:sz w:val="24"/>
          <w:szCs w:val="24"/>
        </w:rPr>
        <w:t>Deficiência</w:t>
      </w:r>
      <w:r>
        <w:rPr>
          <w:rFonts w:eastAsia="Times New Roman"/>
          <w:sz w:val="24"/>
          <w:szCs w:val="24"/>
        </w:rPr>
        <w:t>. Brasília, 1999. Disponível em:</w:t>
      </w:r>
      <w:r>
        <w:rPr>
          <w:rFonts w:eastAsia="Times New Roman"/>
          <w:b/>
          <w:bCs/>
          <w:sz w:val="24"/>
          <w:szCs w:val="24"/>
        </w:rPr>
        <w:t xml:space="preserve"> </w:t>
      </w:r>
      <w:hyperlink r:id="rId16">
        <w:r>
          <w:rPr>
            <w:rFonts w:eastAsia="Times New Roman"/>
            <w:color w:val="0000FF"/>
            <w:sz w:val="24"/>
            <w:szCs w:val="24"/>
            <w:u w:val="single"/>
          </w:rPr>
          <w:t>http://www.planalto.gov.br/ccivil_03/decreto/d3298.htm</w:t>
        </w:r>
        <w:r>
          <w:rPr>
            <w:rFonts w:eastAsia="Times New Roman"/>
            <w:color w:val="000000"/>
            <w:sz w:val="24"/>
            <w:szCs w:val="24"/>
          </w:rPr>
          <w:t xml:space="preserve">. </w:t>
        </w:r>
      </w:hyperlink>
      <w:r>
        <w:rPr>
          <w:rFonts w:eastAsia="Times New Roman"/>
          <w:color w:val="0000FF"/>
          <w:sz w:val="24"/>
          <w:szCs w:val="24"/>
        </w:rPr>
        <w:t xml:space="preserve">Acessado </w:t>
      </w:r>
      <w:r>
        <w:rPr>
          <w:rFonts w:eastAsia="Times New Roman"/>
          <w:color w:val="000000"/>
          <w:sz w:val="24"/>
          <w:szCs w:val="24"/>
        </w:rPr>
        <w:t>em 10 de Ago. De 2013.</w:t>
      </w:r>
    </w:p>
    <w:p w:rsidR="00982EA2" w:rsidRDefault="00982EA2">
      <w:pPr>
        <w:spacing w:line="290" w:lineRule="exact"/>
        <w:rPr>
          <w:sz w:val="20"/>
          <w:szCs w:val="20"/>
        </w:rPr>
      </w:pPr>
    </w:p>
    <w:p w:rsidR="00982EA2" w:rsidRDefault="00C0456E">
      <w:pPr>
        <w:spacing w:line="234" w:lineRule="auto"/>
        <w:jc w:val="both"/>
        <w:rPr>
          <w:sz w:val="20"/>
          <w:szCs w:val="20"/>
        </w:rPr>
      </w:pPr>
      <w:r>
        <w:rPr>
          <w:rFonts w:eastAsia="Times New Roman"/>
          <w:sz w:val="24"/>
          <w:szCs w:val="24"/>
        </w:rPr>
        <w:t xml:space="preserve">GOMES, Joaquim B. Barbosa. </w:t>
      </w:r>
      <w:r>
        <w:rPr>
          <w:rFonts w:eastAsia="Times New Roman"/>
          <w:b/>
          <w:bCs/>
          <w:sz w:val="24"/>
          <w:szCs w:val="24"/>
        </w:rPr>
        <w:t>Ação afirmativa e o princípio constitucional da igualdade</w:t>
      </w:r>
      <w:r>
        <w:rPr>
          <w:rFonts w:eastAsia="Times New Roman"/>
          <w:sz w:val="24"/>
          <w:szCs w:val="24"/>
        </w:rPr>
        <w:t>. 2º edição</w:t>
      </w:r>
      <w:proofErr w:type="gramStart"/>
      <w:r>
        <w:rPr>
          <w:rFonts w:eastAsia="Times New Roman"/>
          <w:sz w:val="24"/>
          <w:szCs w:val="24"/>
        </w:rPr>
        <w:t>,.</w:t>
      </w:r>
      <w:proofErr w:type="gramEnd"/>
      <w:r>
        <w:rPr>
          <w:rFonts w:eastAsia="Times New Roman"/>
          <w:sz w:val="24"/>
          <w:szCs w:val="24"/>
        </w:rPr>
        <w:t xml:space="preserve"> Editora, pagina 37. 2003.</w:t>
      </w:r>
    </w:p>
    <w:p w:rsidR="00982EA2" w:rsidRDefault="00982EA2">
      <w:pPr>
        <w:spacing w:line="278" w:lineRule="exact"/>
        <w:rPr>
          <w:sz w:val="20"/>
          <w:szCs w:val="20"/>
        </w:rPr>
      </w:pPr>
    </w:p>
    <w:p w:rsidR="00982EA2" w:rsidRDefault="00C0456E">
      <w:pPr>
        <w:rPr>
          <w:rFonts w:eastAsia="Times New Roman"/>
          <w:sz w:val="24"/>
          <w:szCs w:val="24"/>
        </w:rPr>
      </w:pPr>
      <w:r>
        <w:rPr>
          <w:rFonts w:eastAsia="Times New Roman"/>
          <w:sz w:val="24"/>
          <w:szCs w:val="24"/>
        </w:rPr>
        <w:t xml:space="preserve">IBGE. Base de dados. Disponível em: </w:t>
      </w:r>
      <w:hyperlink r:id="rId17">
        <w:r>
          <w:rPr>
            <w:rFonts w:eastAsia="Times New Roman"/>
            <w:color w:val="0000FF"/>
            <w:sz w:val="24"/>
            <w:szCs w:val="24"/>
            <w:u w:val="single"/>
          </w:rPr>
          <w:t>www.ibge.gov.br</w:t>
        </w:r>
        <w:r>
          <w:rPr>
            <w:rFonts w:eastAsia="Times New Roman"/>
            <w:sz w:val="24"/>
            <w:szCs w:val="24"/>
            <w:u w:val="single"/>
          </w:rPr>
          <w:t xml:space="preserve">. </w:t>
        </w:r>
      </w:hyperlink>
      <w:r>
        <w:rPr>
          <w:rFonts w:eastAsia="Times New Roman"/>
          <w:sz w:val="24"/>
          <w:szCs w:val="24"/>
        </w:rPr>
        <w:t>Acesso em: 10 de Ago. 2013.</w:t>
      </w:r>
    </w:p>
    <w:sectPr w:rsidR="00982EA2" w:rsidSect="00CE6DBD">
      <w:pgSz w:w="11900" w:h="16838"/>
      <w:pgMar w:top="374" w:right="1120" w:bottom="1440" w:left="1700" w:header="426" w:footer="902"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40" w:rsidRDefault="003D2440" w:rsidP="00F67600">
      <w:r>
        <w:separator/>
      </w:r>
    </w:p>
  </w:endnote>
  <w:endnote w:type="continuationSeparator" w:id="0">
    <w:p w:rsidR="003D2440" w:rsidRDefault="003D2440" w:rsidP="00F6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E4" w:rsidRDefault="00B643E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00" w:rsidRPr="002070EB" w:rsidRDefault="00F67600" w:rsidP="00F67600">
    <w:pPr>
      <w:pStyle w:val="Rodap"/>
      <w:ind w:firstLine="1418"/>
      <w:jc w:val="center"/>
      <w:rPr>
        <w:sz w:val="20"/>
        <w:szCs w:val="20"/>
      </w:rPr>
    </w:pPr>
    <w:r w:rsidRPr="002070EB">
      <w:rPr>
        <w:b/>
        <w:sz w:val="20"/>
        <w:szCs w:val="20"/>
      </w:rPr>
      <w:t xml:space="preserve">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B643E4">
      <w:rPr>
        <w:noProof/>
        <w:sz w:val="20"/>
        <w:szCs w:val="20"/>
      </w:rPr>
      <w:t>196</w:t>
    </w:r>
    <w:r w:rsidRPr="002070EB">
      <w:rPr>
        <w:sz w:val="20"/>
        <w:szCs w:val="20"/>
      </w:rPr>
      <w:fldChar w:fldCharType="end"/>
    </w:r>
    <w:r w:rsidR="00B643E4">
      <w:rPr>
        <w:sz w:val="20"/>
        <w:szCs w:val="20"/>
      </w:rPr>
      <w:t>- 198</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B643E4">
      <w:rPr>
        <w:noProof/>
        <w:sz w:val="20"/>
        <w:szCs w:val="20"/>
      </w:rPr>
      <w:t>196</w:t>
    </w:r>
    <w:r w:rsidRPr="002070EB">
      <w:rPr>
        <w:sz w:val="20"/>
        <w:szCs w:val="20"/>
      </w:rPr>
      <w:fldChar w:fldCharType="end"/>
    </w:r>
  </w:p>
  <w:p w:rsidR="00F67600" w:rsidRDefault="00F67600" w:rsidP="00F67600">
    <w:pPr>
      <w:pStyle w:val="Rodap"/>
      <w:ind w:firstLine="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00" w:rsidRPr="002070EB" w:rsidRDefault="00F67600" w:rsidP="00F67600">
    <w:pPr>
      <w:pStyle w:val="Rodap"/>
      <w:ind w:firstLine="1560"/>
      <w:jc w:val="center"/>
      <w:rPr>
        <w:sz w:val="20"/>
        <w:szCs w:val="20"/>
      </w:rPr>
    </w:pPr>
    <w:r w:rsidRPr="002070EB">
      <w:rPr>
        <w:b/>
        <w:sz w:val="20"/>
        <w:szCs w:val="20"/>
      </w:rPr>
      <w:t xml:space="preserve">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B643E4">
      <w:rPr>
        <w:noProof/>
        <w:sz w:val="20"/>
        <w:szCs w:val="20"/>
      </w:rPr>
      <w:t>195</w:t>
    </w:r>
    <w:r w:rsidRPr="002070EB">
      <w:rPr>
        <w:sz w:val="20"/>
        <w:szCs w:val="20"/>
      </w:rPr>
      <w:fldChar w:fldCharType="end"/>
    </w:r>
    <w:r w:rsidR="00B643E4">
      <w:rPr>
        <w:sz w:val="20"/>
        <w:szCs w:val="20"/>
      </w:rPr>
      <w:t>- 198</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B643E4">
      <w:rPr>
        <w:noProof/>
        <w:sz w:val="20"/>
        <w:szCs w:val="20"/>
      </w:rPr>
      <w:t>195</w:t>
    </w:r>
    <w:r w:rsidRPr="002070EB">
      <w:rPr>
        <w:sz w:val="20"/>
        <w:szCs w:val="20"/>
      </w:rPr>
      <w:fldChar w:fldCharType="end"/>
    </w:r>
  </w:p>
  <w:p w:rsidR="00F67600" w:rsidRDefault="00F67600" w:rsidP="00F67600">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40" w:rsidRDefault="003D2440" w:rsidP="00F67600">
      <w:r>
        <w:separator/>
      </w:r>
    </w:p>
  </w:footnote>
  <w:footnote w:type="continuationSeparator" w:id="0">
    <w:p w:rsidR="003D2440" w:rsidRDefault="003D2440" w:rsidP="00F67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E4" w:rsidRDefault="00B643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00" w:rsidRPr="00F67600" w:rsidRDefault="00F67600" w:rsidP="00F67600">
    <w:pPr>
      <w:jc w:val="center"/>
      <w:rPr>
        <w:sz w:val="16"/>
        <w:szCs w:val="16"/>
      </w:rPr>
    </w:pPr>
    <w:r w:rsidRPr="00F67600">
      <w:rPr>
        <w:rFonts w:eastAsia="Times New Roman"/>
        <w:bCs/>
        <w:sz w:val="16"/>
        <w:szCs w:val="16"/>
      </w:rPr>
      <w:t>POLÍTICAS PÚBLICAS E A AÇÃO INTERVENTIVA – AFIRMATIVA</w:t>
    </w:r>
  </w:p>
  <w:p w:rsidR="00F67600" w:rsidRPr="00F67600" w:rsidRDefault="00F67600" w:rsidP="00F67600">
    <w:pPr>
      <w:spacing w:line="200" w:lineRule="exact"/>
      <w:jc w:val="center"/>
      <w:rPr>
        <w:sz w:val="16"/>
        <w:szCs w:val="16"/>
      </w:rPr>
    </w:pPr>
  </w:p>
  <w:p w:rsidR="00F67600" w:rsidRPr="00F67600" w:rsidRDefault="00F67600" w:rsidP="00F67600">
    <w:pPr>
      <w:jc w:val="center"/>
      <w:rPr>
        <w:sz w:val="16"/>
        <w:szCs w:val="16"/>
      </w:rPr>
    </w:pPr>
    <w:r w:rsidRPr="00F67600">
      <w:rPr>
        <w:rFonts w:eastAsia="Times New Roman"/>
        <w:sz w:val="16"/>
        <w:szCs w:val="16"/>
      </w:rPr>
      <w:t>C</w:t>
    </w:r>
    <w:r w:rsidR="00BF09A6">
      <w:rPr>
        <w:rFonts w:eastAsia="Times New Roman"/>
        <w:sz w:val="16"/>
        <w:szCs w:val="16"/>
      </w:rPr>
      <w:t>.</w:t>
    </w:r>
    <w:r w:rsidRPr="00F67600">
      <w:rPr>
        <w:rFonts w:eastAsia="Times New Roman"/>
        <w:sz w:val="16"/>
        <w:szCs w:val="16"/>
      </w:rPr>
      <w:t xml:space="preserve"> R</w:t>
    </w:r>
    <w:r w:rsidR="00BF09A6">
      <w:rPr>
        <w:rFonts w:eastAsia="Times New Roman"/>
        <w:sz w:val="16"/>
        <w:szCs w:val="16"/>
      </w:rPr>
      <w:t>.</w:t>
    </w:r>
    <w:r w:rsidRPr="00F67600">
      <w:rPr>
        <w:rFonts w:eastAsia="Times New Roman"/>
        <w:sz w:val="16"/>
        <w:szCs w:val="16"/>
      </w:rPr>
      <w:t xml:space="preserve"> F</w:t>
    </w:r>
    <w:r w:rsidR="00BF09A6">
      <w:rPr>
        <w:rFonts w:eastAsia="Times New Roman"/>
        <w:sz w:val="16"/>
        <w:szCs w:val="16"/>
      </w:rPr>
      <w:t>.</w:t>
    </w:r>
    <w:r w:rsidRPr="00F67600">
      <w:rPr>
        <w:rFonts w:eastAsia="Times New Roman"/>
        <w:sz w:val="16"/>
        <w:szCs w:val="16"/>
      </w:rPr>
      <w:t xml:space="preserve"> DE FREITAS SILV</w:t>
    </w:r>
    <w:r w:rsidR="00BF09A6">
      <w:rPr>
        <w:rFonts w:eastAsia="Times New Roman"/>
        <w:sz w:val="16"/>
        <w:szCs w:val="16"/>
      </w:rPr>
      <w:t xml:space="preserve">A, </w:t>
    </w:r>
    <w:r w:rsidRPr="00F67600">
      <w:rPr>
        <w:rFonts w:eastAsia="Times New Roman"/>
        <w:sz w:val="16"/>
        <w:szCs w:val="16"/>
      </w:rPr>
      <w:t>T</w:t>
    </w:r>
    <w:r w:rsidR="00BF09A6">
      <w:rPr>
        <w:rFonts w:eastAsia="Times New Roman"/>
        <w:sz w:val="16"/>
        <w:szCs w:val="16"/>
      </w:rPr>
      <w:t>.</w:t>
    </w:r>
    <w:r w:rsidRPr="00F67600">
      <w:rPr>
        <w:rFonts w:eastAsia="Times New Roman"/>
        <w:sz w:val="16"/>
        <w:szCs w:val="16"/>
      </w:rPr>
      <w:t xml:space="preserve"> M</w:t>
    </w:r>
    <w:r w:rsidR="00BF09A6">
      <w:rPr>
        <w:rFonts w:eastAsia="Times New Roman"/>
        <w:sz w:val="16"/>
        <w:szCs w:val="16"/>
      </w:rPr>
      <w:t>.</w:t>
    </w:r>
    <w:r w:rsidRPr="00F67600">
      <w:rPr>
        <w:rFonts w:eastAsia="Times New Roman"/>
        <w:sz w:val="16"/>
        <w:szCs w:val="16"/>
      </w:rPr>
      <w:t xml:space="preserve"> S</w:t>
    </w:r>
    <w:r w:rsidR="00BF09A6">
      <w:rPr>
        <w:rFonts w:eastAsia="Times New Roman"/>
        <w:sz w:val="16"/>
        <w:szCs w:val="16"/>
      </w:rPr>
      <w:t xml:space="preserve">. </w:t>
    </w:r>
    <w:proofErr w:type="gramStart"/>
    <w:r w:rsidRPr="00F67600">
      <w:rPr>
        <w:rFonts w:eastAsia="Times New Roman"/>
        <w:sz w:val="16"/>
        <w:szCs w:val="16"/>
      </w:rPr>
      <w:t>GUERRA</w:t>
    </w:r>
    <w:proofErr w:type="gramEnd"/>
  </w:p>
  <w:p w:rsidR="00F67600" w:rsidRPr="00F67600" w:rsidRDefault="00F67600" w:rsidP="00F67600">
    <w:pPr>
      <w:spacing w:line="303" w:lineRule="exact"/>
      <w:jc w:val="center"/>
      <w:rPr>
        <w:sz w:val="16"/>
        <w:szCs w:val="16"/>
      </w:rPr>
    </w:pPr>
  </w:p>
  <w:p w:rsidR="00F67600" w:rsidRPr="00F67600" w:rsidRDefault="00F67600" w:rsidP="00F67600">
    <w:pPr>
      <w:pStyle w:val="Cabealho"/>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00" w:rsidRPr="002070EB" w:rsidRDefault="00F67600" w:rsidP="00A337EB">
    <w:pPr>
      <w:pStyle w:val="Cabealho"/>
      <w:pBdr>
        <w:bottom w:val="single" w:sz="12" w:space="1" w:color="auto"/>
      </w:pBdr>
      <w:tabs>
        <w:tab w:val="clear" w:pos="8504"/>
        <w:tab w:val="left" w:pos="7655"/>
      </w:tabs>
      <w:rPr>
        <w:sz w:val="20"/>
        <w:szCs w:val="20"/>
      </w:rPr>
    </w:pPr>
    <w:r w:rsidRPr="002070EB">
      <w:rPr>
        <w:sz w:val="20"/>
        <w:szCs w:val="20"/>
      </w:rPr>
      <w:t xml:space="preserve">Universidade Federal Rural do Semi-Árido                                                                                                     Coordenação Geral de Ação Afirmativa, Diversidade e Inclusão Social               </w:t>
    </w:r>
    <w:proofErr w:type="gramStart"/>
    <w:r w:rsidRPr="002070EB">
      <w:rPr>
        <w:sz w:val="20"/>
        <w:szCs w:val="20"/>
      </w:rPr>
      <w:t>http://periodicos.ufersa.edu.br/revistas/index.</w:t>
    </w:r>
    <w:proofErr w:type="gramEnd"/>
    <w:r w:rsidRPr="002070EB">
      <w:rPr>
        <w:sz w:val="20"/>
        <w:szCs w:val="20"/>
      </w:rPr>
      <w:t xml:space="preserve">php/includere  </w:t>
    </w:r>
    <w:r>
      <w:rPr>
        <w:sz w:val="20"/>
        <w:szCs w:val="20"/>
      </w:rPr>
      <w:tab/>
    </w:r>
    <w:r w:rsidRPr="002070EB">
      <w:rPr>
        <w:sz w:val="20"/>
        <w:szCs w:val="20"/>
      </w:rPr>
      <w:t>ISSN 2359-5566</w:t>
    </w:r>
  </w:p>
  <w:p w:rsidR="00F67600" w:rsidRPr="002070EB" w:rsidRDefault="00F67600" w:rsidP="00F67600">
    <w:pPr>
      <w:pStyle w:val="Cabealho"/>
      <w:pBdr>
        <w:bottom w:val="single" w:sz="12" w:space="1" w:color="auto"/>
      </w:pBdr>
      <w:rPr>
        <w:sz w:val="24"/>
        <w:szCs w:val="24"/>
      </w:rPr>
    </w:pPr>
  </w:p>
  <w:p w:rsidR="00F67600" w:rsidRDefault="00F676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029A173C"/>
    <w:lvl w:ilvl="0" w:tplc="A1A0F20A">
      <w:start w:val="61"/>
      <w:numFmt w:val="upperLetter"/>
      <w:lvlText w:val="%1"/>
      <w:lvlJc w:val="left"/>
    </w:lvl>
    <w:lvl w:ilvl="1" w:tplc="0178C156">
      <w:start w:val="1"/>
      <w:numFmt w:val="upperLetter"/>
      <w:lvlText w:val="%2"/>
      <w:lvlJc w:val="left"/>
    </w:lvl>
    <w:lvl w:ilvl="2" w:tplc="7B2CC31C">
      <w:numFmt w:val="decimal"/>
      <w:lvlText w:val=""/>
      <w:lvlJc w:val="left"/>
    </w:lvl>
    <w:lvl w:ilvl="3" w:tplc="ADA2C20E">
      <w:numFmt w:val="decimal"/>
      <w:lvlText w:val=""/>
      <w:lvlJc w:val="left"/>
    </w:lvl>
    <w:lvl w:ilvl="4" w:tplc="2AB4BA22">
      <w:numFmt w:val="decimal"/>
      <w:lvlText w:val=""/>
      <w:lvlJc w:val="left"/>
    </w:lvl>
    <w:lvl w:ilvl="5" w:tplc="486A8168">
      <w:numFmt w:val="decimal"/>
      <w:lvlText w:val=""/>
      <w:lvlJc w:val="left"/>
    </w:lvl>
    <w:lvl w:ilvl="6" w:tplc="0F56B4D8">
      <w:numFmt w:val="decimal"/>
      <w:lvlText w:val=""/>
      <w:lvlJc w:val="left"/>
    </w:lvl>
    <w:lvl w:ilvl="7" w:tplc="320A36D4">
      <w:numFmt w:val="decimal"/>
      <w:lvlText w:val=""/>
      <w:lvlJc w:val="left"/>
    </w:lvl>
    <w:lvl w:ilvl="8" w:tplc="D146F348">
      <w:numFmt w:val="decimal"/>
      <w:lvlText w:val=""/>
      <w:lvlJc w:val="left"/>
    </w:lvl>
  </w:abstractNum>
  <w:abstractNum w:abstractNumId="1">
    <w:nsid w:val="238E1F29"/>
    <w:multiLevelType w:val="hybridMultilevel"/>
    <w:tmpl w:val="DC869FA0"/>
    <w:lvl w:ilvl="0" w:tplc="4F40B4F6">
      <w:start w:val="61"/>
      <w:numFmt w:val="upperLetter"/>
      <w:lvlText w:val="%1"/>
      <w:lvlJc w:val="left"/>
    </w:lvl>
    <w:lvl w:ilvl="1" w:tplc="E5349EAE">
      <w:start w:val="1"/>
      <w:numFmt w:val="upperLetter"/>
      <w:lvlText w:val="%2"/>
      <w:lvlJc w:val="left"/>
    </w:lvl>
    <w:lvl w:ilvl="2" w:tplc="02C0E11E">
      <w:numFmt w:val="decimal"/>
      <w:lvlText w:val=""/>
      <w:lvlJc w:val="left"/>
    </w:lvl>
    <w:lvl w:ilvl="3" w:tplc="BF72F622">
      <w:numFmt w:val="decimal"/>
      <w:lvlText w:val=""/>
      <w:lvlJc w:val="left"/>
    </w:lvl>
    <w:lvl w:ilvl="4" w:tplc="F98AED42">
      <w:numFmt w:val="decimal"/>
      <w:lvlText w:val=""/>
      <w:lvlJc w:val="left"/>
    </w:lvl>
    <w:lvl w:ilvl="5" w:tplc="BA420374">
      <w:numFmt w:val="decimal"/>
      <w:lvlText w:val=""/>
      <w:lvlJc w:val="left"/>
    </w:lvl>
    <w:lvl w:ilvl="6" w:tplc="C276DD74">
      <w:numFmt w:val="decimal"/>
      <w:lvlText w:val=""/>
      <w:lvlJc w:val="left"/>
    </w:lvl>
    <w:lvl w:ilvl="7" w:tplc="500433AE">
      <w:numFmt w:val="decimal"/>
      <w:lvlText w:val=""/>
      <w:lvlJc w:val="left"/>
    </w:lvl>
    <w:lvl w:ilvl="8" w:tplc="103AC340">
      <w:numFmt w:val="decimal"/>
      <w:lvlText w:val=""/>
      <w:lvlJc w:val="left"/>
    </w:lvl>
  </w:abstractNum>
  <w:abstractNum w:abstractNumId="2">
    <w:nsid w:val="2AE8944A"/>
    <w:multiLevelType w:val="hybridMultilevel"/>
    <w:tmpl w:val="BDEEDC18"/>
    <w:lvl w:ilvl="0" w:tplc="FEEAE698">
      <w:start w:val="1"/>
      <w:numFmt w:val="decimal"/>
      <w:lvlText w:val="%1"/>
      <w:lvlJc w:val="left"/>
    </w:lvl>
    <w:lvl w:ilvl="1" w:tplc="D42A05CA">
      <w:numFmt w:val="decimal"/>
      <w:lvlText w:val=""/>
      <w:lvlJc w:val="left"/>
    </w:lvl>
    <w:lvl w:ilvl="2" w:tplc="6304FDB4">
      <w:numFmt w:val="decimal"/>
      <w:lvlText w:val=""/>
      <w:lvlJc w:val="left"/>
    </w:lvl>
    <w:lvl w:ilvl="3" w:tplc="89C60EDC">
      <w:numFmt w:val="decimal"/>
      <w:lvlText w:val=""/>
      <w:lvlJc w:val="left"/>
    </w:lvl>
    <w:lvl w:ilvl="4" w:tplc="71B23190">
      <w:numFmt w:val="decimal"/>
      <w:lvlText w:val=""/>
      <w:lvlJc w:val="left"/>
    </w:lvl>
    <w:lvl w:ilvl="5" w:tplc="B16C0E06">
      <w:numFmt w:val="decimal"/>
      <w:lvlText w:val=""/>
      <w:lvlJc w:val="left"/>
    </w:lvl>
    <w:lvl w:ilvl="6" w:tplc="727A3FB2">
      <w:numFmt w:val="decimal"/>
      <w:lvlText w:val=""/>
      <w:lvlJc w:val="left"/>
    </w:lvl>
    <w:lvl w:ilvl="7" w:tplc="14184CE6">
      <w:numFmt w:val="decimal"/>
      <w:lvlText w:val=""/>
      <w:lvlJc w:val="left"/>
    </w:lvl>
    <w:lvl w:ilvl="8" w:tplc="9E362000">
      <w:numFmt w:val="decimal"/>
      <w:lvlText w:val=""/>
      <w:lvlJc w:val="left"/>
    </w:lvl>
  </w:abstractNum>
  <w:abstractNum w:abstractNumId="3">
    <w:nsid w:val="46E87CCD"/>
    <w:multiLevelType w:val="hybridMultilevel"/>
    <w:tmpl w:val="F89C27E0"/>
    <w:lvl w:ilvl="0" w:tplc="37D6617C">
      <w:start w:val="61"/>
      <w:numFmt w:val="upperLetter"/>
      <w:lvlText w:val="%1"/>
      <w:lvlJc w:val="left"/>
    </w:lvl>
    <w:lvl w:ilvl="1" w:tplc="57B644D2">
      <w:start w:val="1"/>
      <w:numFmt w:val="upperLetter"/>
      <w:lvlText w:val="%2"/>
      <w:lvlJc w:val="left"/>
    </w:lvl>
    <w:lvl w:ilvl="2" w:tplc="7974F39A">
      <w:numFmt w:val="decimal"/>
      <w:lvlText w:val=""/>
      <w:lvlJc w:val="left"/>
    </w:lvl>
    <w:lvl w:ilvl="3" w:tplc="EAF426B2">
      <w:numFmt w:val="decimal"/>
      <w:lvlText w:val=""/>
      <w:lvlJc w:val="left"/>
    </w:lvl>
    <w:lvl w:ilvl="4" w:tplc="D6C6FB32">
      <w:numFmt w:val="decimal"/>
      <w:lvlText w:val=""/>
      <w:lvlJc w:val="left"/>
    </w:lvl>
    <w:lvl w:ilvl="5" w:tplc="4A6EE2E6">
      <w:numFmt w:val="decimal"/>
      <w:lvlText w:val=""/>
      <w:lvlJc w:val="left"/>
    </w:lvl>
    <w:lvl w:ilvl="6" w:tplc="4036D164">
      <w:numFmt w:val="decimal"/>
      <w:lvlText w:val=""/>
      <w:lvlJc w:val="left"/>
    </w:lvl>
    <w:lvl w:ilvl="7" w:tplc="6312410C">
      <w:numFmt w:val="decimal"/>
      <w:lvlText w:val=""/>
      <w:lvlJc w:val="left"/>
    </w:lvl>
    <w:lvl w:ilvl="8" w:tplc="F61402F8">
      <w:numFmt w:val="decimal"/>
      <w:lvlText w:val=""/>
      <w:lvlJc w:val="left"/>
    </w:lvl>
  </w:abstractNum>
  <w:abstractNum w:abstractNumId="4">
    <w:nsid w:val="625558EC"/>
    <w:multiLevelType w:val="hybridMultilevel"/>
    <w:tmpl w:val="2AD81C7E"/>
    <w:lvl w:ilvl="0" w:tplc="5A68B36A">
      <w:start w:val="61"/>
      <w:numFmt w:val="upperLetter"/>
      <w:lvlText w:val="%1"/>
      <w:lvlJc w:val="left"/>
    </w:lvl>
    <w:lvl w:ilvl="1" w:tplc="93AE21FE">
      <w:start w:val="1"/>
      <w:numFmt w:val="upperLetter"/>
      <w:lvlText w:val="%2"/>
      <w:lvlJc w:val="left"/>
    </w:lvl>
    <w:lvl w:ilvl="2" w:tplc="6EF42A08">
      <w:numFmt w:val="decimal"/>
      <w:lvlText w:val=""/>
      <w:lvlJc w:val="left"/>
    </w:lvl>
    <w:lvl w:ilvl="3" w:tplc="F22649E2">
      <w:numFmt w:val="decimal"/>
      <w:lvlText w:val=""/>
      <w:lvlJc w:val="left"/>
    </w:lvl>
    <w:lvl w:ilvl="4" w:tplc="EF8A4228">
      <w:numFmt w:val="decimal"/>
      <w:lvlText w:val=""/>
      <w:lvlJc w:val="left"/>
    </w:lvl>
    <w:lvl w:ilvl="5" w:tplc="42D8D26A">
      <w:numFmt w:val="decimal"/>
      <w:lvlText w:val=""/>
      <w:lvlJc w:val="left"/>
    </w:lvl>
    <w:lvl w:ilvl="6" w:tplc="D0D2C1F8">
      <w:numFmt w:val="decimal"/>
      <w:lvlText w:val=""/>
      <w:lvlJc w:val="left"/>
    </w:lvl>
    <w:lvl w:ilvl="7" w:tplc="DFECE7AC">
      <w:numFmt w:val="decimal"/>
      <w:lvlText w:val=""/>
      <w:lvlJc w:val="left"/>
    </w:lvl>
    <w:lvl w:ilvl="8" w:tplc="52562D36">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A2"/>
    <w:rsid w:val="002C4458"/>
    <w:rsid w:val="003C363B"/>
    <w:rsid w:val="003D2440"/>
    <w:rsid w:val="004973E0"/>
    <w:rsid w:val="00636444"/>
    <w:rsid w:val="00982EA2"/>
    <w:rsid w:val="00A337EB"/>
    <w:rsid w:val="00B643E4"/>
    <w:rsid w:val="00BF09A6"/>
    <w:rsid w:val="00C0456E"/>
    <w:rsid w:val="00CE6DBD"/>
    <w:rsid w:val="00DA773A"/>
    <w:rsid w:val="00EC32DF"/>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600"/>
    <w:pPr>
      <w:tabs>
        <w:tab w:val="center" w:pos="4252"/>
        <w:tab w:val="right" w:pos="8504"/>
      </w:tabs>
    </w:pPr>
  </w:style>
  <w:style w:type="character" w:customStyle="1" w:styleId="CabealhoChar">
    <w:name w:val="Cabeçalho Char"/>
    <w:basedOn w:val="Fontepargpadro"/>
    <w:link w:val="Cabealho"/>
    <w:uiPriority w:val="99"/>
    <w:rsid w:val="00F67600"/>
  </w:style>
  <w:style w:type="paragraph" w:styleId="Rodap">
    <w:name w:val="footer"/>
    <w:basedOn w:val="Normal"/>
    <w:link w:val="RodapChar"/>
    <w:uiPriority w:val="99"/>
    <w:unhideWhenUsed/>
    <w:rsid w:val="00F67600"/>
    <w:pPr>
      <w:tabs>
        <w:tab w:val="center" w:pos="4252"/>
        <w:tab w:val="right" w:pos="8504"/>
      </w:tabs>
    </w:pPr>
  </w:style>
  <w:style w:type="character" w:customStyle="1" w:styleId="RodapChar">
    <w:name w:val="Rodapé Char"/>
    <w:basedOn w:val="Fontepargpadro"/>
    <w:link w:val="Rodap"/>
    <w:uiPriority w:val="99"/>
    <w:rsid w:val="00F67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600"/>
    <w:pPr>
      <w:tabs>
        <w:tab w:val="center" w:pos="4252"/>
        <w:tab w:val="right" w:pos="8504"/>
      </w:tabs>
    </w:pPr>
  </w:style>
  <w:style w:type="character" w:customStyle="1" w:styleId="CabealhoChar">
    <w:name w:val="Cabeçalho Char"/>
    <w:basedOn w:val="Fontepargpadro"/>
    <w:link w:val="Cabealho"/>
    <w:uiPriority w:val="99"/>
    <w:rsid w:val="00F67600"/>
  </w:style>
  <w:style w:type="paragraph" w:styleId="Rodap">
    <w:name w:val="footer"/>
    <w:basedOn w:val="Normal"/>
    <w:link w:val="RodapChar"/>
    <w:uiPriority w:val="99"/>
    <w:unhideWhenUsed/>
    <w:rsid w:val="00F67600"/>
    <w:pPr>
      <w:tabs>
        <w:tab w:val="center" w:pos="4252"/>
        <w:tab w:val="right" w:pos="8504"/>
      </w:tabs>
    </w:pPr>
  </w:style>
  <w:style w:type="character" w:customStyle="1" w:styleId="RodapChar">
    <w:name w:val="Rodapé Char"/>
    <w:basedOn w:val="Fontepargpadro"/>
    <w:link w:val="Rodap"/>
    <w:uiPriority w:val="99"/>
    <w:rsid w:val="00F6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_ramon@hot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bge.gov.br/" TargetMode="External"/><Relationship Id="rId2" Type="http://schemas.openxmlformats.org/officeDocument/2006/relationships/styles" Target="styles.xml"/><Relationship Id="rId16" Type="http://schemas.openxmlformats.org/officeDocument/2006/relationships/hyperlink" Target="http://www.planalto.gov.br/ccivil_03/decreto/d3298.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maria_guerra@hotmail.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1482</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9</cp:revision>
  <dcterms:created xsi:type="dcterms:W3CDTF">2016-06-02T14:18:00Z</dcterms:created>
  <dcterms:modified xsi:type="dcterms:W3CDTF">2016-12-02T13:35:00Z</dcterms:modified>
</cp:coreProperties>
</file>